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C28BE">
      <w:pPr>
        <w:spacing w:line="480" w:lineRule="auto"/>
        <w:jc w:val="center"/>
        <w:rPr>
          <w:b/>
          <w:sz w:val="52"/>
          <w:lang w:val="it-IT"/>
        </w:rPr>
      </w:pPr>
      <w:r>
        <w:rPr>
          <w:b/>
          <w:sz w:val="52"/>
          <w:lang w:val="it-IT"/>
        </w:rPr>
        <w:t xml:space="preserve">LINEE GUIDA PER IL TRATTAMENTO </w:t>
      </w:r>
    </w:p>
    <w:p w:rsidR="00000000" w:rsidRDefault="00AC28BE">
      <w:pPr>
        <w:spacing w:line="480" w:lineRule="auto"/>
        <w:jc w:val="center"/>
        <w:rPr>
          <w:b/>
          <w:sz w:val="52"/>
          <w:lang w:val="it-IT"/>
        </w:rPr>
      </w:pPr>
      <w:r>
        <w:rPr>
          <w:b/>
          <w:sz w:val="52"/>
          <w:lang w:val="it-IT"/>
        </w:rPr>
        <w:t xml:space="preserve">DELLE PSICOSI </w:t>
      </w:r>
    </w:p>
    <w:p w:rsidR="00000000" w:rsidRDefault="00AC28BE">
      <w:pPr>
        <w:spacing w:line="480" w:lineRule="auto"/>
        <w:jc w:val="center"/>
        <w:rPr>
          <w:b/>
          <w:sz w:val="52"/>
          <w:lang w:val="it-IT"/>
        </w:rPr>
      </w:pPr>
    </w:p>
    <w:p w:rsidR="00000000" w:rsidRDefault="00AC28BE">
      <w:pPr>
        <w:spacing w:line="480" w:lineRule="auto"/>
        <w:jc w:val="center"/>
        <w:rPr>
          <w:b/>
          <w:sz w:val="40"/>
          <w:lang w:val="it-IT"/>
        </w:rPr>
      </w:pPr>
      <w:r>
        <w:rPr>
          <w:b/>
          <w:sz w:val="40"/>
          <w:lang w:val="it-IT"/>
        </w:rPr>
        <w:t xml:space="preserve">Basate sulle 2001 Prescribing Guidelines del Maudsley Hospital </w:t>
      </w:r>
    </w:p>
    <w:p w:rsidR="00000000" w:rsidRDefault="00AC28BE">
      <w:pPr>
        <w:pStyle w:val="Titolo"/>
        <w:rPr>
          <w:b w:val="0"/>
          <w:sz w:val="52"/>
          <w:lang w:val="it-IT"/>
        </w:rPr>
      </w:pPr>
    </w:p>
    <w:p w:rsidR="00000000" w:rsidRDefault="00AC28BE">
      <w:pPr>
        <w:pStyle w:val="Titolo"/>
        <w:rPr>
          <w:b w:val="0"/>
          <w:sz w:val="52"/>
          <w:lang w:val="it-IT"/>
        </w:rPr>
      </w:pPr>
    </w:p>
    <w:p w:rsidR="00000000" w:rsidRDefault="00AC28BE">
      <w:pPr>
        <w:pStyle w:val="Titolo"/>
        <w:rPr>
          <w:b w:val="0"/>
          <w:sz w:val="52"/>
          <w:lang w:val="it-IT"/>
        </w:rPr>
      </w:pPr>
    </w:p>
    <w:p w:rsidR="00000000" w:rsidRDefault="00AC28BE">
      <w:pPr>
        <w:pStyle w:val="Titolo"/>
        <w:rPr>
          <w:b w:val="0"/>
          <w:sz w:val="52"/>
          <w:lang w:val="it-IT"/>
        </w:rPr>
      </w:pPr>
    </w:p>
    <w:p w:rsidR="00000000" w:rsidRDefault="00AC28BE">
      <w:pPr>
        <w:jc w:val="center"/>
        <w:rPr>
          <w:b/>
          <w:sz w:val="40"/>
          <w:lang w:val="it-IT"/>
        </w:rPr>
      </w:pPr>
      <w:r>
        <w:rPr>
          <w:b/>
          <w:sz w:val="52"/>
          <w:lang w:val="it-IT"/>
        </w:rPr>
        <w:t>Pescara, 30 Novembre 2001</w:t>
      </w:r>
      <w:r>
        <w:rPr>
          <w:b/>
          <w:sz w:val="52"/>
          <w:lang w:val="it-IT"/>
        </w:rPr>
        <w:br w:type="page"/>
      </w:r>
      <w:r>
        <w:rPr>
          <w:b/>
          <w:sz w:val="40"/>
          <w:lang w:val="it-IT"/>
        </w:rPr>
        <w:lastRenderedPageBreak/>
        <w:t xml:space="preserve"> GLI ANTIPSICOTICI </w:t>
      </w:r>
    </w:p>
    <w:p w:rsidR="00000000" w:rsidRDefault="00AC28BE">
      <w:pPr>
        <w:jc w:val="center"/>
        <w:rPr>
          <w:b/>
          <w:lang w:val="it-IT"/>
        </w:rPr>
      </w:pPr>
    </w:p>
    <w:p w:rsidR="00000000" w:rsidRDefault="00AC28BE">
      <w:pPr>
        <w:pStyle w:val="Titolo4"/>
      </w:pPr>
      <w:r>
        <w:t>Principi generali nella prescrizione</w:t>
      </w:r>
    </w:p>
    <w:p w:rsidR="00000000" w:rsidRDefault="00AC28BE">
      <w:pPr>
        <w:jc w:val="center"/>
        <w:rPr>
          <w:b/>
          <w:lang w:val="it-IT"/>
        </w:rPr>
      </w:pPr>
    </w:p>
    <w:p w:rsidR="00000000" w:rsidRDefault="00AC28BE">
      <w:pPr>
        <w:pStyle w:val="Titolo1"/>
        <w:rPr>
          <w:sz w:val="28"/>
          <w:lang w:val="it-IT"/>
        </w:rPr>
      </w:pPr>
      <w:r>
        <w:rPr>
          <w:sz w:val="28"/>
          <w:lang w:val="it-IT"/>
        </w:rPr>
        <w:t>Scopi</w:t>
      </w:r>
    </w:p>
    <w:p w:rsidR="00000000" w:rsidRDefault="00AC28BE">
      <w:pPr>
        <w:rPr>
          <w:b/>
          <w:lang w:val="it-IT"/>
        </w:rPr>
      </w:pPr>
    </w:p>
    <w:p w:rsidR="00000000" w:rsidRDefault="00AC28BE">
      <w:pPr>
        <w:jc w:val="both"/>
        <w:rPr>
          <w:sz w:val="28"/>
          <w:lang w:val="it-IT"/>
        </w:rPr>
      </w:pPr>
      <w:r>
        <w:rPr>
          <w:sz w:val="28"/>
          <w:lang w:val="it-IT"/>
        </w:rPr>
        <w:t>-Assicurare che la prescrizione di tutti i farma</w:t>
      </w:r>
      <w:r>
        <w:rPr>
          <w:sz w:val="28"/>
          <w:lang w:val="it-IT"/>
        </w:rPr>
        <w:t>ci antipsicotici sia di elevata qualita’</w:t>
      </w:r>
    </w:p>
    <w:p w:rsidR="00000000" w:rsidRDefault="00AC28BE">
      <w:pPr>
        <w:jc w:val="both"/>
        <w:rPr>
          <w:sz w:val="28"/>
          <w:lang w:val="it-IT"/>
        </w:rPr>
      </w:pPr>
      <w:r>
        <w:rPr>
          <w:sz w:val="28"/>
          <w:lang w:val="it-IT"/>
        </w:rPr>
        <w:t>-Orientare la pratica clinica verso l’uso dei nuovi farmaci antipsicotici non solo nei pazienti resistenti al trattamento (per i quali solo la clozapina e’ indicata) ma anche nei pazienti nelle fasi iniziali della m</w:t>
      </w:r>
      <w:r>
        <w:rPr>
          <w:sz w:val="28"/>
          <w:lang w:val="it-IT"/>
        </w:rPr>
        <w:t>alattia.</w:t>
      </w:r>
    </w:p>
    <w:p w:rsidR="00000000" w:rsidRDefault="00AC28BE">
      <w:pPr>
        <w:jc w:val="both"/>
        <w:rPr>
          <w:lang w:val="it-IT"/>
        </w:rPr>
      </w:pPr>
    </w:p>
    <w:p w:rsidR="00000000" w:rsidRDefault="00AC28BE">
      <w:pPr>
        <w:pStyle w:val="Titolo5"/>
      </w:pPr>
      <w:r>
        <w:t>Standards</w:t>
      </w:r>
    </w:p>
    <w:p w:rsidR="00000000" w:rsidRDefault="00AC28BE">
      <w:pPr>
        <w:jc w:val="both"/>
        <w:rPr>
          <w:lang w:val="it-IT"/>
        </w:rPr>
      </w:pPr>
    </w:p>
    <w:p w:rsidR="00000000" w:rsidRDefault="00AC28BE">
      <w:pPr>
        <w:numPr>
          <w:ilvl w:val="0"/>
          <w:numId w:val="1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>Usare idealmente un solo antipsicotico, preferibilmente in un dosaggio unico. (eccetto nella transizione da un farmaco ad un altro).</w:t>
      </w:r>
    </w:p>
    <w:p w:rsidR="00000000" w:rsidRDefault="00AC28BE">
      <w:pPr>
        <w:numPr>
          <w:ilvl w:val="0"/>
          <w:numId w:val="1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>Gli antipsicotici atipici non dovrebbero essere utilizzati come sedativi “al bisogno” (meglio brevi ci</w:t>
      </w:r>
      <w:r>
        <w:rPr>
          <w:sz w:val="28"/>
          <w:lang w:val="it-IT"/>
        </w:rPr>
        <w:t>cli di BDZ o sedativi come la prometazina).</w:t>
      </w:r>
    </w:p>
    <w:p w:rsidR="00000000" w:rsidRDefault="00AC28BE">
      <w:pPr>
        <w:numPr>
          <w:ilvl w:val="0"/>
          <w:numId w:val="1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>Utilizzare la dose minima efficace, a basso dosaggio, per un tempo sufficiente ad una appropriata valutazione, prima di aumentare.</w:t>
      </w:r>
    </w:p>
    <w:p w:rsidR="00000000" w:rsidRDefault="00AC28BE">
      <w:pPr>
        <w:numPr>
          <w:ilvl w:val="0"/>
          <w:numId w:val="1"/>
        </w:numPr>
        <w:jc w:val="both"/>
        <w:rPr>
          <w:lang w:val="it-IT"/>
        </w:rPr>
      </w:pPr>
      <w:r>
        <w:rPr>
          <w:sz w:val="28"/>
          <w:lang w:val="it-IT"/>
        </w:rPr>
        <w:t>Dosaggi &gt; 15 mg/die di aloperidolo (o equivalenti) dovrebbero rappresentare un’ec</w:t>
      </w:r>
      <w:r>
        <w:rPr>
          <w:sz w:val="28"/>
          <w:lang w:val="it-IT"/>
        </w:rPr>
        <w:t xml:space="preserve">cezione. I pazienti che ricevono alti dosaggi in assenza di miglioramento clinico, dovrebbero essere considerati per il trattamento con clozapina. </w:t>
      </w:r>
    </w:p>
    <w:p w:rsidR="00000000" w:rsidRDefault="00AC28BE">
      <w:pPr>
        <w:numPr>
          <w:ilvl w:val="0"/>
          <w:numId w:val="1"/>
        </w:numPr>
        <w:jc w:val="both"/>
        <w:rPr>
          <w:lang w:val="it-IT"/>
        </w:rPr>
      </w:pPr>
      <w:r>
        <w:rPr>
          <w:sz w:val="28"/>
          <w:lang w:val="it-IT"/>
        </w:rPr>
        <w:t>Quando si usa piu’ di un grammo di clorpromazina (o equivalenti), monitorare:</w:t>
      </w:r>
    </w:p>
    <w:p w:rsidR="00000000" w:rsidRDefault="00AC28BE">
      <w:pPr>
        <w:numPr>
          <w:ilvl w:val="0"/>
          <w:numId w:val="15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 xml:space="preserve">ECG periodicamente, e ridurre </w:t>
      </w:r>
      <w:r>
        <w:rPr>
          <w:sz w:val="28"/>
          <w:lang w:val="it-IT"/>
        </w:rPr>
        <w:t xml:space="preserve">i dosaggi se si sviluppa un allargamento dell’intervallo QT o altre anomalie. </w:t>
      </w:r>
    </w:p>
    <w:p w:rsidR="00000000" w:rsidRDefault="00AC28BE">
      <w:pPr>
        <w:numPr>
          <w:ilvl w:val="0"/>
          <w:numId w:val="15"/>
        </w:numPr>
        <w:jc w:val="both"/>
        <w:rPr>
          <w:lang w:val="it-IT"/>
        </w:rPr>
      </w:pPr>
      <w:r>
        <w:rPr>
          <w:sz w:val="28"/>
          <w:lang w:val="it-IT"/>
        </w:rPr>
        <w:t>Polso, pressione arteriosa e temperatura regolarmente</w:t>
      </w:r>
    </w:p>
    <w:p w:rsidR="00000000" w:rsidRDefault="00AC28BE">
      <w:pPr>
        <w:numPr>
          <w:ilvl w:val="0"/>
          <w:numId w:val="15"/>
        </w:numPr>
        <w:jc w:val="both"/>
        <w:rPr>
          <w:lang w:val="it-IT"/>
        </w:rPr>
      </w:pPr>
      <w:r>
        <w:rPr>
          <w:sz w:val="28"/>
          <w:lang w:val="it-IT"/>
        </w:rPr>
        <w:t>Rivalutare la situazione clinica del paziente dopo tre mesi:</w:t>
      </w:r>
    </w:p>
    <w:p w:rsidR="00000000" w:rsidRDefault="00AC28BE">
      <w:pPr>
        <w:numPr>
          <w:ilvl w:val="0"/>
          <w:numId w:val="16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>Nessun beneficio: riportare la dose entro i limiti consigliati</w:t>
      </w:r>
      <w:r>
        <w:rPr>
          <w:sz w:val="28"/>
          <w:lang w:val="it-IT"/>
        </w:rPr>
        <w:t>. Considerare Clozapina.</w:t>
      </w:r>
    </w:p>
    <w:p w:rsidR="00000000" w:rsidRDefault="00AC28BE">
      <w:pPr>
        <w:numPr>
          <w:ilvl w:val="0"/>
          <w:numId w:val="16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>Miglioramento clinico: riportare in cartella.</w:t>
      </w:r>
    </w:p>
    <w:p w:rsidR="00000000" w:rsidRDefault="00AC28BE">
      <w:pPr>
        <w:numPr>
          <w:ilvl w:val="0"/>
          <w:numId w:val="1"/>
        </w:numPr>
        <w:jc w:val="both"/>
        <w:rPr>
          <w:sz w:val="28"/>
          <w:lang w:val="it-IT"/>
        </w:rPr>
      </w:pPr>
      <w:r>
        <w:rPr>
          <w:sz w:val="28"/>
          <w:lang w:val="it-IT"/>
        </w:rPr>
        <w:t xml:space="preserve">Farmaci anticolinergici: somministrati per Parkinsonismo o distonie (come profilassi se nessario) ma bisognerebbe cercare di interromperli dopo 2-3 mesi trascorsi in assenza di sintomi </w:t>
      </w:r>
      <w:r>
        <w:rPr>
          <w:sz w:val="28"/>
          <w:lang w:val="it-IT"/>
        </w:rPr>
        <w:t>extrapiramidali. Possono essere usati come sostanze d’abuso e causano disturbi della memoria.</w:t>
      </w:r>
    </w:p>
    <w:p w:rsidR="00000000" w:rsidRDefault="00AC28BE">
      <w:pPr>
        <w:ind w:left="360"/>
        <w:jc w:val="both"/>
        <w:rPr>
          <w:lang w:val="it-IT"/>
        </w:rPr>
        <w:sectPr w:rsidR="00000000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000000" w:rsidRDefault="00AC28BE">
      <w:pPr>
        <w:pStyle w:val="Titolo6"/>
      </w:pPr>
      <w:r>
        <w:lastRenderedPageBreak/>
        <w:t xml:space="preserve">LA SCHIZOFRENIA E LE PSICOSI </w:t>
      </w:r>
    </w:p>
    <w:p w:rsidR="00000000" w:rsidRDefault="00AC28BE">
      <w:pPr>
        <w:ind w:left="360"/>
        <w:jc w:val="center"/>
        <w:rPr>
          <w:b/>
          <w:sz w:val="40"/>
          <w:lang w:val="it-IT"/>
        </w:rPr>
      </w:pPr>
    </w:p>
    <w:p w:rsidR="00000000" w:rsidRDefault="00AC28BE">
      <w:pPr>
        <w:ind w:left="360"/>
        <w:jc w:val="center"/>
        <w:rPr>
          <w:b/>
          <w:sz w:val="40"/>
          <w:lang w:val="it-IT"/>
        </w:rPr>
      </w:pPr>
    </w:p>
    <w:p w:rsidR="00000000" w:rsidRDefault="00AC28BE">
      <w:pPr>
        <w:ind w:left="360"/>
        <w:jc w:val="center"/>
        <w:rPr>
          <w:b/>
          <w:lang w:val="it-IT"/>
        </w:rPr>
      </w:pPr>
    </w:p>
    <w:p w:rsidR="00000000" w:rsidRDefault="00AC28BE">
      <w:pPr>
        <w:pStyle w:val="Titolo7"/>
      </w:pPr>
      <w:r>
        <w:t xml:space="preserve"> Regole per la prescrizione</w:t>
      </w:r>
    </w:p>
    <w:p w:rsidR="00000000" w:rsidRDefault="00AC28BE">
      <w:pPr>
        <w:ind w:left="360"/>
        <w:jc w:val="center"/>
        <w:rPr>
          <w:b/>
          <w:lang w:val="it-IT"/>
        </w:rPr>
      </w:pPr>
    </w:p>
    <w:p w:rsidR="00000000" w:rsidRDefault="00AC28BE">
      <w:pPr>
        <w:jc w:val="both"/>
        <w:rPr>
          <w:b/>
          <w:lang w:val="it-IT"/>
        </w:rPr>
      </w:pPr>
    </w:p>
    <w:p w:rsidR="00000000" w:rsidRDefault="00AC28BE">
      <w:pPr>
        <w:jc w:val="both"/>
        <w:rPr>
          <w:b/>
          <w:lang w:val="it-IT"/>
        </w:rPr>
      </w:pPr>
    </w:p>
    <w:p w:rsidR="00000000" w:rsidRDefault="00AC28BE">
      <w:pPr>
        <w:numPr>
          <w:ilvl w:val="0"/>
          <w:numId w:val="3"/>
        </w:numPr>
        <w:jc w:val="both"/>
        <w:rPr>
          <w:sz w:val="28"/>
          <w:lang w:val="it-IT"/>
        </w:rPr>
      </w:pPr>
      <w:r>
        <w:rPr>
          <w:b/>
          <w:sz w:val="28"/>
          <w:lang w:val="it-IT"/>
        </w:rPr>
        <w:t xml:space="preserve">Accertamento della diagnosi. </w:t>
      </w:r>
      <w:r>
        <w:rPr>
          <w:sz w:val="28"/>
          <w:lang w:val="it-IT"/>
        </w:rPr>
        <w:t>Piu’ lunga e’ la durata della psicosi non trattata, peggiore sara’ l</w:t>
      </w:r>
      <w:r>
        <w:rPr>
          <w:sz w:val="28"/>
          <w:lang w:val="it-IT"/>
        </w:rPr>
        <w:t>a prognosi.</w:t>
      </w:r>
    </w:p>
    <w:p w:rsidR="00000000" w:rsidRDefault="00AC28BE">
      <w:pPr>
        <w:ind w:left="360"/>
        <w:jc w:val="both"/>
        <w:rPr>
          <w:sz w:val="28"/>
          <w:lang w:val="it-IT"/>
        </w:rPr>
      </w:pPr>
    </w:p>
    <w:p w:rsidR="00000000" w:rsidRDefault="00AC28BE">
      <w:pPr>
        <w:numPr>
          <w:ilvl w:val="0"/>
          <w:numId w:val="3"/>
        </w:numPr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Prescrivere solo </w:t>
      </w:r>
      <w:r>
        <w:rPr>
          <w:b/>
          <w:sz w:val="28"/>
          <w:u w:val="single"/>
          <w:lang w:val="it-IT"/>
        </w:rPr>
        <w:t>un</w:t>
      </w:r>
      <w:r>
        <w:rPr>
          <w:b/>
          <w:sz w:val="28"/>
          <w:lang w:val="it-IT"/>
        </w:rPr>
        <w:t xml:space="preserve"> farmaco antipsicotico alla volta. </w:t>
      </w:r>
      <w:r>
        <w:rPr>
          <w:sz w:val="28"/>
          <w:lang w:val="it-IT"/>
        </w:rPr>
        <w:t xml:space="preserve">Evitare la polifarmacoterapia, particolarmente con farmaci neurolettici tipici ed atipici in combinazione. </w:t>
      </w:r>
    </w:p>
    <w:p w:rsidR="00000000" w:rsidRDefault="00AC28BE">
      <w:pPr>
        <w:ind w:left="360"/>
        <w:jc w:val="both"/>
        <w:rPr>
          <w:b/>
          <w:sz w:val="28"/>
          <w:lang w:val="it-IT"/>
        </w:rPr>
      </w:pPr>
    </w:p>
    <w:p w:rsidR="00000000" w:rsidRDefault="00AC28BE">
      <w:pPr>
        <w:numPr>
          <w:ilvl w:val="0"/>
          <w:numId w:val="3"/>
        </w:numPr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>Incoraggiare il dialogo con i pazienti riguardo l’accettabilita’ del trattamento</w:t>
      </w:r>
      <w:r>
        <w:rPr>
          <w:b/>
          <w:sz w:val="28"/>
          <w:lang w:val="it-IT"/>
        </w:rPr>
        <w:t xml:space="preserve"> farmacologico. </w:t>
      </w:r>
      <w:r>
        <w:rPr>
          <w:sz w:val="28"/>
          <w:lang w:val="it-IT"/>
        </w:rPr>
        <w:t>Si puo’ solitamente trovare un farmaco specifico che il paziente accetta con maggiore facilita’.</w:t>
      </w:r>
    </w:p>
    <w:p w:rsidR="00000000" w:rsidRDefault="00AC28BE">
      <w:pPr>
        <w:ind w:left="360"/>
        <w:jc w:val="both"/>
        <w:rPr>
          <w:b/>
          <w:sz w:val="28"/>
          <w:lang w:val="it-IT"/>
        </w:rPr>
      </w:pPr>
    </w:p>
    <w:p w:rsidR="00000000" w:rsidRDefault="00AC28BE">
      <w:pPr>
        <w:numPr>
          <w:ilvl w:val="0"/>
          <w:numId w:val="3"/>
        </w:numPr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>Monitorare il trattamento.</w:t>
      </w:r>
    </w:p>
    <w:p w:rsidR="00000000" w:rsidRDefault="00AC28BE">
      <w:pPr>
        <w:ind w:left="360"/>
        <w:jc w:val="both"/>
        <w:rPr>
          <w:b/>
          <w:lang w:val="it-IT"/>
        </w:rPr>
      </w:pPr>
    </w:p>
    <w:p w:rsidR="00000000" w:rsidRDefault="00AC28BE">
      <w:pPr>
        <w:ind w:left="360"/>
        <w:jc w:val="both"/>
        <w:rPr>
          <w:b/>
          <w:lang w:val="it-IT"/>
        </w:rPr>
      </w:pPr>
    </w:p>
    <w:p w:rsidR="00000000" w:rsidRDefault="00AC28BE">
      <w:pPr>
        <w:ind w:left="360"/>
        <w:jc w:val="both"/>
        <w:rPr>
          <w:b/>
          <w:lang w:val="it-IT"/>
        </w:rPr>
      </w:pPr>
    </w:p>
    <w:p w:rsidR="00000000" w:rsidRDefault="00AC28BE">
      <w:pPr>
        <w:ind w:left="360"/>
        <w:jc w:val="both"/>
        <w:rPr>
          <w:b/>
          <w:lang w:val="it-IT"/>
        </w:rPr>
      </w:pPr>
    </w:p>
    <w:p w:rsidR="00000000" w:rsidRDefault="00AC28BE">
      <w:pPr>
        <w:ind w:left="360"/>
        <w:jc w:val="both"/>
        <w:rPr>
          <w:b/>
          <w:lang w:val="it-IT"/>
        </w:rPr>
      </w:pPr>
    </w:p>
    <w:p w:rsidR="00000000" w:rsidRDefault="00AC28BE">
      <w:pPr>
        <w:ind w:left="360"/>
        <w:jc w:val="both"/>
        <w:rPr>
          <w:b/>
          <w:lang w:val="it-IT"/>
        </w:rPr>
      </w:pPr>
    </w:p>
    <w:p w:rsidR="00000000" w:rsidRDefault="00AC28BE">
      <w:pPr>
        <w:pStyle w:val="Titolo3"/>
        <w:rPr>
          <w:sz w:val="40"/>
        </w:rPr>
      </w:pPr>
      <w:r>
        <w:rPr>
          <w:sz w:val="40"/>
        </w:rPr>
        <w:t>Il trattamento farmacologico della schizofrenia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b/>
          <w:sz w:val="32"/>
          <w:lang w:val="it-IT"/>
        </w:rPr>
      </w:pPr>
      <w:r>
        <w:rPr>
          <w:b/>
          <w:sz w:val="32"/>
          <w:lang w:val="it-IT"/>
        </w:rPr>
        <w:t>I farmaci antipsicotici atipici sono raccomandati: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5"/>
        </w:numPr>
        <w:rPr>
          <w:sz w:val="28"/>
          <w:lang w:val="it-IT"/>
        </w:rPr>
      </w:pPr>
      <w:r>
        <w:rPr>
          <w:sz w:val="28"/>
          <w:lang w:val="it-IT"/>
        </w:rPr>
        <w:t>Come t</w:t>
      </w:r>
      <w:r>
        <w:rPr>
          <w:sz w:val="28"/>
          <w:lang w:val="it-IT"/>
        </w:rPr>
        <w:t>rattamento di prima scelta nel primo episodio di schizofrenia.</w:t>
      </w:r>
    </w:p>
    <w:p w:rsidR="00000000" w:rsidRDefault="00AC28BE">
      <w:pPr>
        <w:ind w:left="360"/>
        <w:rPr>
          <w:sz w:val="28"/>
          <w:lang w:val="it-IT"/>
        </w:rPr>
      </w:pPr>
    </w:p>
    <w:p w:rsidR="00000000" w:rsidRDefault="00AC28BE">
      <w:pPr>
        <w:numPr>
          <w:ilvl w:val="0"/>
          <w:numId w:val="5"/>
        </w:numPr>
        <w:rPr>
          <w:sz w:val="28"/>
          <w:lang w:val="it-IT"/>
        </w:rPr>
      </w:pPr>
      <w:r>
        <w:rPr>
          <w:sz w:val="28"/>
          <w:lang w:val="it-IT"/>
        </w:rPr>
        <w:t>Come alternativa ai neurolettici tipici in pazienti che soffrono effetti collaterali gravi o intollerabili con i neurolettici tipici.</w:t>
      </w:r>
    </w:p>
    <w:p w:rsidR="00000000" w:rsidRDefault="00AC28BE">
      <w:pPr>
        <w:ind w:left="360"/>
        <w:rPr>
          <w:sz w:val="28"/>
          <w:lang w:val="it-IT"/>
        </w:rPr>
      </w:pPr>
    </w:p>
    <w:p w:rsidR="00000000" w:rsidRDefault="00AC28BE">
      <w:pPr>
        <w:numPr>
          <w:ilvl w:val="0"/>
          <w:numId w:val="5"/>
        </w:numPr>
        <w:rPr>
          <w:sz w:val="28"/>
          <w:lang w:val="it-IT"/>
        </w:rPr>
      </w:pPr>
      <w:r>
        <w:rPr>
          <w:sz w:val="28"/>
          <w:lang w:val="it-IT"/>
        </w:rPr>
        <w:t>Per il trattamento della schizofrenia resistente (soltant</w:t>
      </w:r>
      <w:r>
        <w:rPr>
          <w:sz w:val="28"/>
          <w:lang w:val="it-IT"/>
        </w:rPr>
        <w:t xml:space="preserve">o la clozapina). </w:t>
      </w:r>
    </w:p>
    <w:p w:rsidR="00000000" w:rsidRDefault="00AC28BE">
      <w:pPr>
        <w:rPr>
          <w:lang w:val="it-IT"/>
        </w:rPr>
      </w:pPr>
      <w:r>
        <w:rPr>
          <w:lang w:val="it-IT"/>
        </w:rPr>
        <w:br w:type="page"/>
      </w:r>
    </w:p>
    <w:p w:rsidR="00000000" w:rsidRDefault="00AC28BE">
      <w:pPr>
        <w:pStyle w:val="Titolo3"/>
        <w:rPr>
          <w:sz w:val="40"/>
        </w:rPr>
      </w:pPr>
      <w:r>
        <w:rPr>
          <w:sz w:val="40"/>
        </w:rPr>
        <w:t>IL TRATTAMENTO FARMACOLOGICO DELLA SCHIZOFRENIA</w:t>
      </w:r>
    </w:p>
    <w:p w:rsidR="00000000" w:rsidRDefault="00AC28BE">
      <w:pPr>
        <w:rPr>
          <w:lang w:val="it-IT"/>
        </w:rPr>
      </w:pPr>
    </w:p>
    <w:p w:rsidR="00000000" w:rsidRDefault="00AC28BE">
      <w:pPr>
        <w:pStyle w:val="Titolo1"/>
        <w:rPr>
          <w:sz w:val="32"/>
          <w:lang w:val="it-IT"/>
        </w:rPr>
      </w:pPr>
      <w:r>
        <w:rPr>
          <w:sz w:val="32"/>
          <w:lang w:val="it-IT"/>
        </w:rPr>
        <w:tab/>
      </w:r>
      <w:r>
        <w:rPr>
          <w:sz w:val="32"/>
          <w:lang w:val="it-IT"/>
        </w:rPr>
        <w:tab/>
        <w:t xml:space="preserve">Il primo episodio di psicosi schizofrenica 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8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88" w:type="dxa"/>
          </w:tcPr>
          <w:p w:rsidR="00000000" w:rsidRDefault="00AC28BE">
            <w:pPr>
              <w:jc w:val="center"/>
              <w:rPr>
                <w:sz w:val="28"/>
                <w:vertAlign w:val="superscript"/>
                <w:lang w:val="it-IT"/>
              </w:rPr>
            </w:pPr>
            <w:r>
              <w:rPr>
                <w:sz w:val="28"/>
                <w:lang w:val="it-IT"/>
              </w:rPr>
              <w:t>Dare un antipsicotico atipico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Ottimizzare il dosaggio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Valutare per 6-8 settimane</w:t>
            </w:r>
          </w:p>
        </w:tc>
      </w:tr>
    </w:tbl>
    <w:p w:rsidR="00000000" w:rsidRDefault="00AC28BE">
      <w:pPr>
        <w:rPr>
          <w:lang w:val="it-IT"/>
        </w:rPr>
      </w:pPr>
      <w:r>
        <w:rPr>
          <w:noProof/>
          <w:sz w:val="28"/>
        </w:rPr>
        <w:pict>
          <v:line id="_x0000_s1030" style="position:absolute;z-index:2;mso-position-horizontal-relative:text;mso-position-vertical-relative:text" from="201.6pt,4pt" to="201.6pt,148pt" o:allowincell="f"/>
        </w:pict>
      </w:r>
    </w:p>
    <w:p w:rsidR="00000000" w:rsidRDefault="00AC28BE">
      <w:pPr>
        <w:rPr>
          <w:lang w:val="it-IT"/>
        </w:rPr>
      </w:pPr>
    </w:p>
    <w:p w:rsidR="00000000" w:rsidRDefault="00AC28BE">
      <w:pPr>
        <w:ind w:left="2880" w:firstLine="720"/>
        <w:jc w:val="center"/>
        <w:rPr>
          <w:sz w:val="28"/>
          <w:lang w:val="it-IT"/>
        </w:rPr>
      </w:pPr>
      <w:r>
        <w:rPr>
          <w:sz w:val="28"/>
          <w:lang w:val="it-IT"/>
        </w:rPr>
        <w:t>Mancata risposta al trattamento</w:t>
      </w:r>
    </w:p>
    <w:p w:rsidR="00000000" w:rsidRDefault="00AC28BE">
      <w:pPr>
        <w:jc w:val="center"/>
        <w:rPr>
          <w:lang w:val="it-IT"/>
        </w:rPr>
      </w:pPr>
    </w:p>
    <w:p w:rsidR="00000000" w:rsidRDefault="00AC28BE">
      <w:pPr>
        <w:jc w:val="center"/>
        <w:rPr>
          <w:lang w:val="it-IT"/>
        </w:rPr>
      </w:pPr>
    </w:p>
    <w:p w:rsidR="00000000" w:rsidRDefault="00AC28BE">
      <w:pPr>
        <w:jc w:val="center"/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Scarsa aderenza al</w:t>
      </w:r>
      <w:r>
        <w:rPr>
          <w:sz w:val="28"/>
          <w:lang w:val="it-IT"/>
        </w:rPr>
        <w:t xml:space="preserve"> trattamento</w:t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  <w:t xml:space="preserve">Risposta scarsa o nulla </w:t>
      </w: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e/o scarsa tollerabilita’</w:t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  <w:t>nonostante la accertata</w:t>
      </w: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  <w:t>aderenza al trattamento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  <w:r>
        <w:rPr>
          <w:noProof/>
          <w:sz w:val="20"/>
        </w:rPr>
        <w:pict>
          <v:line id="_x0000_s1031" style="position:absolute;rotation:292045fd;z-index:3" from="202.5pt,6.65pt" to="315pt,37.4pt" o:allowincell="f"/>
        </w:pict>
      </w:r>
      <w:r>
        <w:rPr>
          <w:noProof/>
          <w:sz w:val="20"/>
        </w:rPr>
        <w:pict>
          <v:line id="_x0000_s1028" style="position:absolute;rotation:292045fd;flip:x;z-index:1" from="92pt,6.65pt" to="204.5pt,37.4pt" o:allowincell="f"/>
        </w:pic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tbl>
      <w:tblPr>
        <w:tblW w:w="0" w:type="auto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0"/>
        <w:gridCol w:w="2063"/>
        <w:gridCol w:w="293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00" w:type="dxa"/>
            <w:tcBorders>
              <w:right w:val="single" w:sz="6" w:space="0" w:color="000000"/>
            </w:tcBorders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Discutere con il paziente e con i familiari o con le persone che si prendono cura del paziente</w:t>
            </w:r>
          </w:p>
          <w:p w:rsidR="00000000" w:rsidRDefault="00AC28BE">
            <w:pPr>
              <w:rPr>
                <w:sz w:val="28"/>
                <w:vertAlign w:val="superscript"/>
                <w:lang w:val="it-IT"/>
              </w:rPr>
            </w:pPr>
            <w:r>
              <w:rPr>
                <w:sz w:val="28"/>
                <w:lang w:val="it-IT"/>
              </w:rPr>
              <w:t>Passare ad un altro atipico o a</w:t>
            </w:r>
            <w:r>
              <w:rPr>
                <w:sz w:val="28"/>
                <w:lang w:val="it-IT"/>
              </w:rPr>
              <w:t>d un neurolettico depot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Valutare per 6-8 settimane</w:t>
            </w:r>
          </w:p>
        </w:tc>
        <w:tc>
          <w:tcPr>
            <w:tcW w:w="20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AC28BE">
            <w:pPr>
              <w:rPr>
                <w:lang w:val="it-IT"/>
              </w:rPr>
            </w:pPr>
          </w:p>
        </w:tc>
        <w:tc>
          <w:tcPr>
            <w:tcW w:w="2937" w:type="dxa"/>
            <w:tcBorders>
              <w:left w:val="single" w:sz="6" w:space="0" w:color="000000"/>
            </w:tcBorders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Passare ad un altro antipsicotico atipico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Valutare per 6-8 settimane</w:t>
            </w:r>
          </w:p>
        </w:tc>
      </w:tr>
    </w:tbl>
    <w:p w:rsidR="00000000" w:rsidRDefault="00AC28BE">
      <w:pPr>
        <w:rPr>
          <w:lang w:val="it-IT"/>
        </w:rPr>
      </w:pPr>
      <w:r>
        <w:rPr>
          <w:noProof/>
          <w:sz w:val="20"/>
        </w:rPr>
        <w:pict>
          <v:line id="_x0000_s1035" style="position:absolute;z-index:5;mso-position-horizontal-relative:text;mso-position-vertical-relative:text" from="75.75pt,.45pt" to="165.75pt,110.65pt" o:allowincell="f"/>
        </w:pict>
      </w:r>
      <w:r>
        <w:rPr>
          <w:noProof/>
          <w:sz w:val="20"/>
        </w:rPr>
        <w:pict>
          <v:line id="_x0000_s1036" style="position:absolute;flip:x;z-index:6;mso-position-horizontal-relative:text;mso-position-vertical-relative:text" from="243pt,.05pt" to="333pt,110.25pt" o:allowincell="f"/>
        </w:pict>
      </w:r>
      <w:r>
        <w:rPr>
          <w:noProof/>
          <w:sz w:val="20"/>
        </w:rPr>
        <w:pict>
          <v:line id="_x0000_s1033" style="position:absolute;z-index:4;mso-position-horizontal-relative:text;mso-position-vertical-relative:text" from="81pt,1.25pt" to="81pt,1.25pt" o:allowincell="f"/>
        </w:pic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jc w:val="center"/>
        <w:rPr>
          <w:lang w:val="it-IT"/>
        </w:rPr>
      </w:pPr>
      <w:r>
        <w:rPr>
          <w:lang w:val="it-IT"/>
        </w:rPr>
        <w:t xml:space="preserve">Risposta scarsa o nulla </w:t>
      </w:r>
    </w:p>
    <w:p w:rsidR="00000000" w:rsidRDefault="00AC28BE">
      <w:pPr>
        <w:jc w:val="center"/>
        <w:rPr>
          <w:lang w:val="it-IT"/>
        </w:rPr>
      </w:pPr>
    </w:p>
    <w:p w:rsidR="00000000" w:rsidRDefault="00AC28BE">
      <w:pPr>
        <w:jc w:val="center"/>
        <w:rPr>
          <w:lang w:val="it-IT"/>
        </w:rPr>
      </w:pPr>
    </w:p>
    <w:p w:rsidR="00000000" w:rsidRDefault="00AC28BE">
      <w:pPr>
        <w:jc w:val="center"/>
        <w:rPr>
          <w:lang w:val="it-I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13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5" w:type="dxa"/>
          </w:tcPr>
          <w:p w:rsidR="00000000" w:rsidRDefault="00AC28BE">
            <w:pPr>
              <w:jc w:val="center"/>
              <w:rPr>
                <w:sz w:val="28"/>
                <w:vertAlign w:val="superscript"/>
                <w:lang w:val="it-IT"/>
              </w:rPr>
            </w:pPr>
            <w:r>
              <w:rPr>
                <w:sz w:val="28"/>
                <w:lang w:val="it-IT"/>
              </w:rPr>
              <w:t>Passare alla clozapina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Valutare per 6 mesi</w:t>
            </w:r>
          </w:p>
        </w:tc>
      </w:tr>
    </w:tbl>
    <w:p w:rsidR="00000000" w:rsidRDefault="00AC28BE">
      <w:pPr>
        <w:jc w:val="center"/>
        <w:rPr>
          <w:b/>
          <w:sz w:val="40"/>
          <w:lang w:val="it-IT"/>
        </w:rPr>
      </w:pPr>
      <w:r>
        <w:rPr>
          <w:lang w:val="it-IT"/>
        </w:rPr>
        <w:br w:type="page"/>
      </w:r>
      <w:r>
        <w:rPr>
          <w:b/>
          <w:sz w:val="40"/>
          <w:lang w:val="it-IT"/>
        </w:rPr>
        <w:lastRenderedPageBreak/>
        <w:tab/>
      </w:r>
      <w:r>
        <w:rPr>
          <w:b/>
          <w:sz w:val="40"/>
          <w:lang w:val="it-IT"/>
        </w:rPr>
        <w:tab/>
        <w:t>Il primo episodio di schizofrenia</w:t>
      </w:r>
    </w:p>
    <w:p w:rsidR="00000000" w:rsidRDefault="00AC28BE">
      <w:pPr>
        <w:jc w:val="center"/>
        <w:rPr>
          <w:lang w:val="it-IT"/>
        </w:rPr>
      </w:pPr>
    </w:p>
    <w:p w:rsidR="00000000" w:rsidRDefault="00AC28BE">
      <w:pPr>
        <w:jc w:val="center"/>
        <w:rPr>
          <w:lang w:val="it-IT"/>
        </w:rPr>
      </w:pPr>
    </w:p>
    <w:p w:rsidR="00000000" w:rsidRDefault="00AC28BE">
      <w:pPr>
        <w:jc w:val="center"/>
        <w:rPr>
          <w:lang w:val="it-IT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516"/>
        <w:gridCol w:w="787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16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1.</w:t>
            </w:r>
          </w:p>
        </w:tc>
        <w:tc>
          <w:tcPr>
            <w:tcW w:w="7872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u w:val="single"/>
                <w:lang w:val="it-IT"/>
              </w:rPr>
              <w:t>Neurol</w:t>
            </w:r>
            <w:r>
              <w:rPr>
                <w:sz w:val="28"/>
                <w:u w:val="single"/>
                <w:lang w:val="it-IT"/>
              </w:rPr>
              <w:t>ettici atipici</w:t>
            </w:r>
            <w:r>
              <w:rPr>
                <w:sz w:val="28"/>
                <w:lang w:val="it-IT"/>
              </w:rPr>
              <w:t>: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- Meglio tollerati dei neurolettici tipicici al dosaggio terapeutico. 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- causano EPS meno gravi dell’aloperidolo (quetiapina e probabilmente olanzapina causano EPS simili al placebo). La iperprolattinemia sintomatica sembra non verificarsi</w:t>
            </w:r>
            <w:r>
              <w:rPr>
                <w:sz w:val="28"/>
                <w:lang w:val="it-IT"/>
              </w:rPr>
              <w:t xml:space="preserve"> con quetiapina o olanzapina. 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- Discinesia tardiva: meno frequente con l’olanzapina che con l’aloperidolo. Non e’ chiaro se l’insorgenza di discinesia tardiva sia ridotta anche con gli altri neurolettici atipici. Comunque,  e’ possibile che la loro minor</w:t>
            </w:r>
            <w:r>
              <w:rPr>
                <w:sz w:val="28"/>
                <w:lang w:val="it-IT"/>
              </w:rPr>
              <w:t xml:space="preserve">e capacita’ di indurre effeti extrapiramidali acuti risulti in una minor insorgenza di discinesia tardiva. 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- Alcuni data suggeriscono che l’olanzapina sia piu’ efficace dell’aloperidolo nel primo episodio psicotico.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-Neurolettici  tipici “ a basse dosi”</w:t>
            </w:r>
            <w:r>
              <w:rPr>
                <w:sz w:val="28"/>
                <w:lang w:val="it-IT"/>
              </w:rPr>
              <w:t xml:space="preserve"> non possono essere raccomandati come alternativa ai neurolettici atipici. Gli effetti collaterali extrapiramidali, la iperprolattinemia sintomatica e la discinesia tardiva compaiono anche a dosaggi molto bassi.  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- La sulpiride e’ essenzialmente un neuro</w:t>
            </w:r>
            <w:r>
              <w:rPr>
                <w:sz w:val="28"/>
                <w:lang w:val="it-IT"/>
              </w:rPr>
              <w:t>lettico tipico.</w:t>
            </w:r>
          </w:p>
          <w:p w:rsidR="00000000" w:rsidRDefault="00AC28BE">
            <w:pPr>
              <w:rPr>
                <w:sz w:val="28"/>
                <w:lang w:val="it-IT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6" w:type="dxa"/>
          </w:tcPr>
          <w:p w:rsidR="00000000" w:rsidRDefault="00AC28BE">
            <w:pPr>
              <w:rPr>
                <w:lang w:val="it-IT"/>
              </w:rPr>
            </w:pPr>
            <w:r>
              <w:rPr>
                <w:lang w:val="it-IT"/>
              </w:rPr>
              <w:t>2.</w:t>
            </w:r>
          </w:p>
        </w:tc>
        <w:tc>
          <w:tcPr>
            <w:tcW w:w="7872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- Depot tipici riducono la ricaduta e la riospedalizzazione. 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- Depot atipici, quando disponibili, diverranno probabilmente il trattamento di scelta.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6" w:type="dxa"/>
          </w:tcPr>
          <w:p w:rsidR="00000000" w:rsidRDefault="00AC28BE">
            <w:pPr>
              <w:rPr>
                <w:lang w:val="it-IT"/>
              </w:rPr>
            </w:pPr>
            <w:r>
              <w:rPr>
                <w:lang w:val="it-IT"/>
              </w:rPr>
              <w:t>3.</w:t>
            </w:r>
          </w:p>
        </w:tc>
        <w:tc>
          <w:tcPr>
            <w:tcW w:w="7872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- Solo la clozapina ha un’efficacia accertata nella schizofrenia resistente. 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- </w:t>
            </w:r>
            <w:r>
              <w:rPr>
                <w:sz w:val="28"/>
                <w:lang w:val="it-IT"/>
              </w:rPr>
              <w:t>La prognosi e’ tanto migliore quanto prima il paziente riceve un trattamento efficace. La ricerca di un trattamento a cui il paziente risponda deve essere una priorita’. Non si dovrebbe esitare ad iniziare il trattamento con clozapina, qualora sia necessar</w:t>
            </w:r>
            <w:r>
              <w:rPr>
                <w:sz w:val="28"/>
                <w:lang w:val="it-IT"/>
              </w:rPr>
              <w:t>io.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16" w:type="dxa"/>
          </w:tcPr>
          <w:p w:rsidR="00000000" w:rsidRDefault="00AC28BE">
            <w:pPr>
              <w:rPr>
                <w:lang w:val="it-IT"/>
              </w:rPr>
            </w:pPr>
            <w:r>
              <w:rPr>
                <w:lang w:val="it-IT"/>
              </w:rPr>
              <w:t>4.</w:t>
            </w:r>
          </w:p>
        </w:tc>
        <w:tc>
          <w:tcPr>
            <w:tcW w:w="7872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La maggior parte dei pazienti che rispondono al trattamento con clozapina possono essere identificati entro i primi tre mesi, ma una minoranza importante risponde dopo 3-12 mesi. </w:t>
            </w:r>
          </w:p>
        </w:tc>
      </w:tr>
    </w:tbl>
    <w:p w:rsidR="00000000" w:rsidRDefault="00AC28BE">
      <w:pPr>
        <w:jc w:val="center"/>
        <w:rPr>
          <w:lang w:val="it-IT"/>
        </w:rPr>
      </w:pPr>
      <w:r>
        <w:rPr>
          <w:lang w:val="it-IT"/>
        </w:rPr>
        <w:br w:type="page"/>
      </w:r>
    </w:p>
    <w:p w:rsidR="00000000" w:rsidRDefault="00AC28BE">
      <w:pPr>
        <w:pStyle w:val="Titolo3"/>
        <w:rPr>
          <w:sz w:val="40"/>
        </w:rPr>
      </w:pPr>
      <w:r>
        <w:rPr>
          <w:sz w:val="40"/>
        </w:rPr>
        <w:t>LA RICADUTA O LA RIESACERBAZIONE ACUTA DELLA SCHIZOFRENIA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pStyle w:val="Titolo1"/>
        <w:jc w:val="center"/>
        <w:rPr>
          <w:sz w:val="32"/>
          <w:lang w:val="it-IT"/>
        </w:rPr>
      </w:pPr>
      <w:r>
        <w:rPr>
          <w:sz w:val="32"/>
          <w:lang w:val="it-IT"/>
        </w:rPr>
        <w:t>Adere</w:t>
      </w:r>
      <w:r>
        <w:rPr>
          <w:sz w:val="32"/>
          <w:lang w:val="it-IT"/>
        </w:rPr>
        <w:t>nza al trattamento farmacologico accertata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72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72" w:type="dxa"/>
          </w:tcPr>
          <w:p w:rsidR="00000000" w:rsidRDefault="00AC28BE">
            <w:pPr>
              <w:jc w:val="center"/>
              <w:rPr>
                <w:lang w:val="it-IT"/>
              </w:rPr>
            </w:pP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Valutare i fattori sociali o psicologici  precipitanti l’episodio</w:t>
            </w:r>
          </w:p>
          <w:p w:rsidR="00000000" w:rsidRDefault="00AC28BE">
            <w:pPr>
              <w:pStyle w:val="Corpodeltesto"/>
              <w:rPr>
                <w:sz w:val="28"/>
              </w:rPr>
            </w:pPr>
            <w:r>
              <w:rPr>
                <w:sz w:val="28"/>
              </w:rPr>
              <w:t>Fornire il supporto e/o la terapia appropriati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Continuare con il trattamento farmacologico usuale</w:t>
            </w:r>
          </w:p>
          <w:p w:rsidR="00000000" w:rsidRDefault="00AC28BE">
            <w:pPr>
              <w:jc w:val="center"/>
              <w:rPr>
                <w:lang w:val="it-IT"/>
              </w:rPr>
            </w:pPr>
          </w:p>
        </w:tc>
      </w:tr>
    </w:tbl>
    <w:p w:rsidR="00000000" w:rsidRDefault="00AC28BE">
      <w:pPr>
        <w:rPr>
          <w:lang w:val="it-IT"/>
        </w:rPr>
      </w:pPr>
      <w:r>
        <w:rPr>
          <w:noProof/>
          <w:sz w:val="20"/>
        </w:rPr>
        <w:pict>
          <v:line id="_x0000_s1044" style="position:absolute;z-index:10;mso-position-horizontal-relative:text;mso-position-vertical-relative:text" from="212.55pt,.7pt" to="212.55pt,81.7pt" o:allowincell="f"/>
        </w:pict>
      </w:r>
    </w:p>
    <w:p w:rsidR="00000000" w:rsidRDefault="00AC28BE">
      <w:pPr>
        <w:rPr>
          <w:lang w:val="it-IT"/>
        </w:rPr>
      </w:pPr>
    </w:p>
    <w:p w:rsidR="00000000" w:rsidRDefault="00AC28BE">
      <w:pPr>
        <w:ind w:left="3600" w:firstLine="720"/>
        <w:rPr>
          <w:lang w:val="it-IT"/>
        </w:rPr>
      </w:pPr>
      <w:r>
        <w:rPr>
          <w:lang w:val="it-IT"/>
        </w:rPr>
        <w:t>Trattamento farmacologico acuto</w:t>
      </w:r>
      <w:r>
        <w:rPr>
          <w:lang w:val="it-IT"/>
        </w:rPr>
        <w:tab/>
      </w:r>
      <w:r>
        <w:rPr>
          <w:lang w:val="it-IT"/>
        </w:rPr>
        <w:tab/>
        <w:t>(se nec</w:t>
      </w:r>
      <w:r>
        <w:rPr>
          <w:lang w:val="it-IT"/>
        </w:rPr>
        <w:t>essario)</w:t>
      </w:r>
    </w:p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ind w:left="3600" w:firstLine="720"/>
        <w:rPr>
          <w:lang w:val="it-IT"/>
        </w:rPr>
      </w:pPr>
      <w:r>
        <w:rPr>
          <w:lang w:val="it-IT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492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492" w:type="dxa"/>
          </w:tcPr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Aggiungere un farmaco sedativo nel breve termine</w:t>
            </w:r>
          </w:p>
          <w:p w:rsidR="00000000" w:rsidRDefault="00AC28BE">
            <w:pPr>
              <w:pStyle w:val="Corpodeltesto"/>
              <w:rPr>
                <w:sz w:val="28"/>
              </w:rPr>
            </w:pPr>
            <w:r>
              <w:rPr>
                <w:sz w:val="28"/>
              </w:rPr>
              <w:t>O</w:t>
            </w:r>
          </w:p>
          <w:p w:rsidR="00000000" w:rsidRDefault="00AC28BE">
            <w:pPr>
              <w:pStyle w:val="Corpodeltesto"/>
              <w:rPr>
                <w:sz w:val="28"/>
              </w:rPr>
            </w:pPr>
            <w:r>
              <w:rPr>
                <w:i w:val="0"/>
                <w:sz w:val="28"/>
              </w:rPr>
              <w:t xml:space="preserve">Se necessario, passare ad un diverso antipsicotico </w:t>
            </w:r>
            <w:r>
              <w:rPr>
                <w:sz w:val="28"/>
              </w:rPr>
              <w:t>che il paziente accetti</w:t>
            </w:r>
          </w:p>
          <w:p w:rsidR="00000000" w:rsidRDefault="00AC28BE">
            <w:pPr>
              <w:pStyle w:val="Corpodeltesto"/>
              <w:rPr>
                <w:sz w:val="28"/>
              </w:rPr>
            </w:pP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Valutare per almeno 6 settimane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</w:tc>
      </w:tr>
    </w:tbl>
    <w:p w:rsidR="00000000" w:rsidRDefault="00AC28BE">
      <w:pPr>
        <w:ind w:left="3600" w:firstLine="720"/>
        <w:rPr>
          <w:lang w:val="it-IT"/>
        </w:rPr>
      </w:pPr>
      <w:r>
        <w:rPr>
          <w:noProof/>
          <w:sz w:val="20"/>
        </w:rPr>
        <w:pict>
          <v:line id="_x0000_s1045" style="position:absolute;left:0;text-align:left;z-index:11;mso-position-horizontal-relative:text;mso-position-vertical-relative:text" from="205.35pt,2.25pt" to="205.35pt,67.05pt" o:allowincell="f"/>
        </w:pict>
      </w:r>
    </w:p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ind w:left="3600" w:firstLine="720"/>
        <w:rPr>
          <w:lang w:val="it-IT"/>
        </w:rPr>
      </w:pPr>
      <w:r>
        <w:rPr>
          <w:lang w:val="it-IT"/>
        </w:rPr>
        <w:t>Il trattamento e’ inefficace</w:t>
      </w:r>
    </w:p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ind w:left="3600" w:firstLine="720"/>
        <w:rPr>
          <w:lang w:val="it-I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135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5" w:type="dxa"/>
          </w:tcPr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Passare alla clozapina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</w:tc>
      </w:tr>
    </w:tbl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pStyle w:val="Titolo3"/>
        <w:rPr>
          <w:sz w:val="40"/>
        </w:rPr>
      </w:pPr>
      <w:r>
        <w:br w:type="page"/>
      </w:r>
      <w:r>
        <w:rPr>
          <w:sz w:val="40"/>
        </w:rPr>
        <w:lastRenderedPageBreak/>
        <w:t>LA RICADUTA O LA RIE</w:t>
      </w:r>
      <w:r>
        <w:rPr>
          <w:sz w:val="40"/>
        </w:rPr>
        <w:t>SACERBAZIONE ACUTA DELLA SCHIZOFRENIA</w:t>
      </w:r>
    </w:p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pStyle w:val="Titolo1"/>
        <w:jc w:val="center"/>
        <w:rPr>
          <w:sz w:val="32"/>
          <w:lang w:val="it-IT"/>
        </w:rPr>
      </w:pPr>
      <w:r>
        <w:rPr>
          <w:sz w:val="32"/>
          <w:lang w:val="it-IT"/>
        </w:rPr>
        <w:t>Aderenza al trattamento farmacologico dubbia o scarsa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600"/>
        <w:gridCol w:w="1888"/>
        <w:gridCol w:w="2568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600" w:type="dxa"/>
          </w:tcPr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noProof/>
                <w:sz w:val="28"/>
              </w:rPr>
              <w:pict>
                <v:line id="_x0000_s1043" style="position:absolute;left:0;text-align:left;z-index:9" from="201.6pt,32.2pt" to="295.2pt,32.2pt" o:allowincell="f"/>
              </w:pic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Investigare le ragioni per una scarsa aderenza al trattamento farmacologico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</w:tc>
        <w:tc>
          <w:tcPr>
            <w:tcW w:w="1888" w:type="dxa"/>
            <w:tcBorders>
              <w:top w:val="nil"/>
              <w:bottom w:val="nil"/>
            </w:tcBorders>
          </w:tcPr>
          <w:p w:rsidR="00000000" w:rsidRDefault="00AC28BE">
            <w:pPr>
              <w:jc w:val="center"/>
              <w:rPr>
                <w:lang w:val="it-IT"/>
              </w:rPr>
            </w:pP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Il paziente e’ confuso o disorganizzato</w:t>
            </w:r>
          </w:p>
        </w:tc>
        <w:tc>
          <w:tcPr>
            <w:tcW w:w="2568" w:type="dxa"/>
          </w:tcPr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Considerare l’uso di mezzi per miglior</w:t>
            </w:r>
            <w:r>
              <w:rPr>
                <w:sz w:val="28"/>
                <w:lang w:val="it-IT"/>
              </w:rPr>
              <w:t>are la terapia*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</w:p>
        </w:tc>
      </w:tr>
    </w:tbl>
    <w:p w:rsidR="00000000" w:rsidRDefault="00AC28BE">
      <w:pPr>
        <w:rPr>
          <w:lang w:val="it-IT"/>
        </w:rPr>
      </w:pPr>
      <w:r>
        <w:rPr>
          <w:noProof/>
          <w:sz w:val="20"/>
        </w:rPr>
        <w:pict>
          <v:line id="_x0000_s1042" style="position:absolute;z-index:8;mso-position-horizontal-relative:text;mso-position-vertical-relative:text" from="153pt,.3pt" to="270pt,81.3pt" o:allowincell="f"/>
        </w:pict>
      </w:r>
      <w:r>
        <w:rPr>
          <w:noProof/>
          <w:sz w:val="20"/>
        </w:rPr>
        <w:pict>
          <v:line id="_x0000_s1039" style="position:absolute;flip:x;z-index:7;mso-position-horizontal-relative:text;mso-position-vertical-relative:text" from="99pt,.3pt" to="126pt,81.3pt" o:allowincell="f"/>
        </w:pic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Mancanza di insight</w:t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  <w:t>Scarsa tollerabilita’</w:t>
      </w: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o di supporto</w:t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  <w:r>
        <w:rPr>
          <w:sz w:val="28"/>
          <w:lang w:val="it-IT"/>
        </w:rPr>
        <w:tab/>
      </w:r>
    </w:p>
    <w:p w:rsidR="00000000" w:rsidRDefault="00AC28BE">
      <w:pPr>
        <w:ind w:left="3600" w:firstLine="720"/>
        <w:rPr>
          <w:lang w:val="it-IT"/>
        </w:rPr>
      </w:pPr>
    </w:p>
    <w:p w:rsidR="00000000" w:rsidRDefault="00AC28BE">
      <w:pPr>
        <w:ind w:left="3600" w:firstLine="720"/>
        <w:rPr>
          <w:lang w:val="it-IT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3135"/>
        <w:gridCol w:w="1083"/>
        <w:gridCol w:w="3420"/>
      </w:tblGrid>
      <w:tr w:rsidR="0000000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5" w:type="dxa"/>
          </w:tcPr>
          <w:p w:rsidR="00000000" w:rsidRDefault="00AC28BE">
            <w:pPr>
              <w:pStyle w:val="Titolo3"/>
              <w:rPr>
                <w:sz w:val="28"/>
              </w:rPr>
            </w:pPr>
            <w:r>
              <w:rPr>
                <w:sz w:val="28"/>
              </w:rPr>
              <w:t>Discutere con il paziente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Considerare un intervento psicoeducativo o un farmaco depot</w:t>
            </w:r>
          </w:p>
        </w:tc>
        <w:tc>
          <w:tcPr>
            <w:tcW w:w="1083" w:type="dxa"/>
            <w:tcBorders>
              <w:top w:val="nil"/>
              <w:bottom w:val="nil"/>
            </w:tcBorders>
          </w:tcPr>
          <w:p w:rsidR="00000000" w:rsidRDefault="00AC28BE">
            <w:pPr>
              <w:jc w:val="center"/>
              <w:rPr>
                <w:lang w:val="it-IT"/>
              </w:rPr>
            </w:pPr>
          </w:p>
          <w:p w:rsidR="00000000" w:rsidRDefault="00AC28BE">
            <w:pPr>
              <w:jc w:val="center"/>
              <w:rPr>
                <w:lang w:val="it-IT"/>
              </w:rPr>
            </w:pPr>
          </w:p>
        </w:tc>
        <w:tc>
          <w:tcPr>
            <w:tcW w:w="3420" w:type="dxa"/>
          </w:tcPr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b/>
                <w:sz w:val="28"/>
                <w:lang w:val="it-IT"/>
              </w:rPr>
              <w:t>Discutere con il paziente</w:t>
            </w:r>
          </w:p>
          <w:p w:rsidR="00000000" w:rsidRDefault="00AC28BE">
            <w:pPr>
              <w:jc w:val="center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Passare ad un altro farmaco che il paziente accetti (ve</w:t>
            </w:r>
            <w:r>
              <w:rPr>
                <w:sz w:val="28"/>
                <w:lang w:val="it-IT"/>
              </w:rPr>
              <w:t>di raccomandazioni)</w:t>
            </w:r>
          </w:p>
        </w:tc>
      </w:tr>
    </w:tbl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pStyle w:val="Corpodeltesto2"/>
        <w:rPr>
          <w:sz w:val="28"/>
        </w:rPr>
      </w:pPr>
      <w:r>
        <w:rPr>
          <w:sz w:val="28"/>
        </w:rPr>
        <w:t>* Per esempio, usare scatole porta-pillole indicanti i giorni della settimana. Questi mezzi tuttavia non devono sostituire l’intervento psicoeducativo con il paziente. Lo scopo dell’intervento e’ quello di promuovere le capacita’ d</w:t>
      </w:r>
      <w:r>
        <w:rPr>
          <w:sz w:val="28"/>
        </w:rPr>
        <w:t>el paziente di gestirsi in maniera indipendente, fornendogli il supporto e le informazioni necessarie.</w:t>
      </w:r>
    </w:p>
    <w:p w:rsidR="00000000" w:rsidRDefault="00AC28BE">
      <w:pPr>
        <w:jc w:val="both"/>
        <w:rPr>
          <w:lang w:val="it-IT"/>
        </w:rPr>
      </w:pPr>
    </w:p>
    <w:p w:rsidR="00000000" w:rsidRDefault="00AC28BE">
      <w:pPr>
        <w:jc w:val="both"/>
        <w:rPr>
          <w:lang w:val="it-IT"/>
        </w:rPr>
      </w:pPr>
      <w:r>
        <w:rPr>
          <w:lang w:val="it-IT"/>
        </w:rPr>
        <w:br w:type="page"/>
      </w:r>
    </w:p>
    <w:p w:rsidR="00000000" w:rsidRDefault="00AC28BE">
      <w:pPr>
        <w:pStyle w:val="Titolo8"/>
      </w:pPr>
      <w:r>
        <w:t>Passare da un farmaco all’altro</w:t>
      </w:r>
    </w:p>
    <w:p w:rsidR="00000000" w:rsidRDefault="00AC28BE">
      <w:pPr>
        <w:rPr>
          <w:b/>
          <w:lang w:val="it-IT"/>
        </w:rPr>
      </w:pPr>
    </w:p>
    <w:p w:rsidR="00000000" w:rsidRDefault="00AC28BE">
      <w:pPr>
        <w:rPr>
          <w:b/>
          <w:lang w:val="it-IT"/>
        </w:rPr>
      </w:pPr>
    </w:p>
    <w:p w:rsidR="00000000" w:rsidRDefault="00AC28BE">
      <w:pPr>
        <w:pStyle w:val="Titolo9"/>
      </w:pPr>
      <w:r>
        <w:t xml:space="preserve"> Raccomandazioni</w:t>
      </w:r>
    </w:p>
    <w:p w:rsidR="00000000" w:rsidRDefault="00AC28BE">
      <w:pPr>
        <w:rPr>
          <w:b/>
          <w:lang w:val="it-IT"/>
        </w:rPr>
      </w:pPr>
    </w:p>
    <w:p w:rsidR="00000000" w:rsidRDefault="00AC28BE">
      <w:pPr>
        <w:numPr>
          <w:ilvl w:val="0"/>
          <w:numId w:val="7"/>
        </w:numPr>
        <w:rPr>
          <w:b/>
          <w:sz w:val="28"/>
          <w:lang w:val="it-IT"/>
        </w:rPr>
      </w:pPr>
      <w:r>
        <w:rPr>
          <w:b/>
          <w:sz w:val="28"/>
          <w:lang w:val="it-IT"/>
        </w:rPr>
        <w:t>Effetti extrapiramidali (inclusi i sintomi negativi secondari)</w:t>
      </w:r>
    </w:p>
    <w:p w:rsidR="00000000" w:rsidRDefault="00AC28BE">
      <w:pPr>
        <w:ind w:left="720"/>
        <w:rPr>
          <w:sz w:val="28"/>
          <w:lang w:val="it-IT"/>
        </w:rPr>
      </w:pPr>
      <w:r>
        <w:rPr>
          <w:sz w:val="28"/>
          <w:lang w:val="it-IT"/>
        </w:rPr>
        <w:t xml:space="preserve">Passare a quetiapina o olanzapina. </w:t>
      </w:r>
      <w:r>
        <w:rPr>
          <w:sz w:val="28"/>
          <w:lang w:val="it-IT"/>
        </w:rPr>
        <w:t xml:space="preserve">Considerare anche risperidone </w:t>
      </w:r>
      <w:r>
        <w:rPr>
          <w:sz w:val="28"/>
          <w:u w:val="single"/>
          <w:lang w:val="it-IT"/>
        </w:rPr>
        <w:t>a basso dosaggio</w:t>
      </w:r>
      <w:r>
        <w:rPr>
          <w:sz w:val="28"/>
          <w:lang w:val="it-IT"/>
        </w:rPr>
        <w:t xml:space="preserve"> (4 mg/die).</w:t>
      </w:r>
    </w:p>
    <w:p w:rsidR="00000000" w:rsidRDefault="00AC28BE">
      <w:pPr>
        <w:ind w:left="720"/>
        <w:rPr>
          <w:sz w:val="28"/>
          <w:lang w:val="it-IT"/>
        </w:rPr>
      </w:pPr>
    </w:p>
    <w:p w:rsidR="00000000" w:rsidRDefault="00AC28BE">
      <w:pPr>
        <w:numPr>
          <w:ilvl w:val="0"/>
          <w:numId w:val="7"/>
        </w:numPr>
        <w:rPr>
          <w:b/>
          <w:sz w:val="28"/>
          <w:lang w:val="it-IT"/>
        </w:rPr>
      </w:pPr>
      <w:r>
        <w:rPr>
          <w:b/>
          <w:sz w:val="28"/>
          <w:lang w:val="it-IT"/>
        </w:rPr>
        <w:t>Iperprolattinemia</w:t>
      </w:r>
    </w:p>
    <w:p w:rsidR="00000000" w:rsidRDefault="00AC28BE">
      <w:pPr>
        <w:ind w:left="360" w:firstLine="360"/>
        <w:rPr>
          <w:sz w:val="28"/>
          <w:vertAlign w:val="superscript"/>
          <w:lang w:val="it-IT"/>
        </w:rPr>
      </w:pPr>
      <w:r>
        <w:rPr>
          <w:sz w:val="28"/>
          <w:lang w:val="it-IT"/>
        </w:rPr>
        <w:t>Passare a quetiapina</w:t>
      </w:r>
      <w:r>
        <w:rPr>
          <w:sz w:val="28"/>
          <w:vertAlign w:val="superscript"/>
          <w:lang w:val="it-IT"/>
        </w:rPr>
        <w:t xml:space="preserve"> </w:t>
      </w:r>
      <w:r>
        <w:rPr>
          <w:sz w:val="28"/>
          <w:lang w:val="it-IT"/>
        </w:rPr>
        <w:t>o olanzapina</w:t>
      </w:r>
    </w:p>
    <w:p w:rsidR="00000000" w:rsidRDefault="00AC28BE">
      <w:pPr>
        <w:ind w:left="360" w:firstLine="360"/>
        <w:rPr>
          <w:sz w:val="28"/>
          <w:vertAlign w:val="superscript"/>
          <w:lang w:val="it-IT"/>
        </w:rPr>
      </w:pPr>
    </w:p>
    <w:p w:rsidR="00000000" w:rsidRDefault="00AC28BE">
      <w:pPr>
        <w:numPr>
          <w:ilvl w:val="0"/>
          <w:numId w:val="7"/>
        </w:numPr>
        <w:rPr>
          <w:b/>
          <w:sz w:val="28"/>
          <w:lang w:val="it-IT"/>
        </w:rPr>
      </w:pPr>
      <w:r>
        <w:rPr>
          <w:b/>
          <w:sz w:val="28"/>
          <w:lang w:val="it-IT"/>
        </w:rPr>
        <w:t>Aumento di peso</w:t>
      </w:r>
    </w:p>
    <w:p w:rsidR="00000000" w:rsidRDefault="00AC28BE">
      <w:pPr>
        <w:ind w:left="720"/>
        <w:rPr>
          <w:lang w:val="it-IT"/>
        </w:rPr>
      </w:pPr>
      <w:r>
        <w:rPr>
          <w:sz w:val="28"/>
          <w:lang w:val="it-IT"/>
        </w:rPr>
        <w:t>Offrire consigli e supporto per una dieta sana e esercizio fisico. Considerare il passaggio ad un farmaco che causi minore aume</w:t>
      </w:r>
      <w:r>
        <w:rPr>
          <w:sz w:val="28"/>
          <w:lang w:val="it-IT"/>
        </w:rPr>
        <w:t>nto di peso (per esempio, amisulpride, sulpiride, o ziprasidone)</w:t>
      </w:r>
      <w:r>
        <w:rPr>
          <w:lang w:val="it-IT"/>
        </w:rPr>
        <w:t xml:space="preserve">. </w:t>
      </w:r>
    </w:p>
    <w:p w:rsidR="00000000" w:rsidRDefault="00AC28BE">
      <w:pPr>
        <w:ind w:left="720"/>
        <w:rPr>
          <w:lang w:val="it-IT"/>
        </w:rPr>
      </w:pPr>
    </w:p>
    <w:p w:rsidR="00000000" w:rsidRDefault="00AC28BE">
      <w:pPr>
        <w:numPr>
          <w:ilvl w:val="0"/>
          <w:numId w:val="7"/>
        </w:numPr>
        <w:rPr>
          <w:b/>
          <w:sz w:val="28"/>
          <w:lang w:val="it-IT"/>
        </w:rPr>
      </w:pPr>
      <w:r>
        <w:rPr>
          <w:b/>
          <w:sz w:val="28"/>
          <w:lang w:val="it-IT"/>
        </w:rPr>
        <w:t>Sedazione</w:t>
      </w:r>
    </w:p>
    <w:p w:rsidR="00000000" w:rsidRDefault="00AC28BE">
      <w:pPr>
        <w:ind w:left="720"/>
        <w:rPr>
          <w:sz w:val="28"/>
          <w:lang w:val="it-IT"/>
        </w:rPr>
      </w:pPr>
      <w:r>
        <w:rPr>
          <w:sz w:val="28"/>
          <w:lang w:val="it-IT"/>
        </w:rPr>
        <w:t>Ridurre la dose. Passare ad un farmaco meno sedativo (risperidone, amisulpride, aloperidolo, etc.).</w:t>
      </w:r>
    </w:p>
    <w:p w:rsidR="00000000" w:rsidRDefault="00AC28BE">
      <w:pPr>
        <w:ind w:left="720"/>
        <w:rPr>
          <w:sz w:val="28"/>
          <w:lang w:val="it-IT"/>
        </w:rPr>
      </w:pPr>
    </w:p>
    <w:p w:rsidR="00000000" w:rsidRDefault="00AC28BE">
      <w:pPr>
        <w:numPr>
          <w:ilvl w:val="0"/>
          <w:numId w:val="7"/>
        </w:numPr>
        <w:rPr>
          <w:b/>
          <w:sz w:val="28"/>
          <w:lang w:val="it-IT"/>
        </w:rPr>
      </w:pPr>
      <w:r>
        <w:rPr>
          <w:b/>
          <w:sz w:val="28"/>
          <w:lang w:val="it-IT"/>
        </w:rPr>
        <w:t>Discinesia tardiva</w:t>
      </w:r>
    </w:p>
    <w:p w:rsidR="00000000" w:rsidRDefault="00AC28BE">
      <w:pPr>
        <w:ind w:left="720"/>
        <w:rPr>
          <w:sz w:val="28"/>
          <w:vertAlign w:val="superscript"/>
          <w:lang w:val="it-IT"/>
        </w:rPr>
      </w:pPr>
      <w:r>
        <w:rPr>
          <w:sz w:val="28"/>
          <w:lang w:val="it-IT"/>
        </w:rPr>
        <w:t>Passare a clozapina o (possibilmente) olanzapina o (forse)</w:t>
      </w:r>
      <w:r>
        <w:rPr>
          <w:sz w:val="28"/>
          <w:lang w:val="it-IT"/>
        </w:rPr>
        <w:t xml:space="preserve"> quetiapina</w:t>
      </w:r>
    </w:p>
    <w:p w:rsidR="00000000" w:rsidRDefault="00AC28BE">
      <w:pPr>
        <w:ind w:left="360" w:firstLine="360"/>
        <w:rPr>
          <w:sz w:val="28"/>
          <w:vertAlign w:val="superscript"/>
          <w:lang w:val="it-IT"/>
        </w:rPr>
      </w:pPr>
    </w:p>
    <w:p w:rsidR="00000000" w:rsidRDefault="00AC28BE">
      <w:pPr>
        <w:numPr>
          <w:ilvl w:val="0"/>
          <w:numId w:val="7"/>
        </w:numPr>
        <w:rPr>
          <w:b/>
          <w:sz w:val="28"/>
          <w:lang w:val="it-IT"/>
        </w:rPr>
      </w:pPr>
      <w:r>
        <w:rPr>
          <w:b/>
          <w:sz w:val="28"/>
          <w:lang w:val="it-IT"/>
        </w:rPr>
        <w:t>Ipotensione posturale</w:t>
      </w:r>
    </w:p>
    <w:p w:rsidR="00000000" w:rsidRDefault="00AC28BE">
      <w:pPr>
        <w:ind w:left="720"/>
        <w:rPr>
          <w:sz w:val="28"/>
          <w:lang w:val="it-IT"/>
        </w:rPr>
      </w:pPr>
      <w:r>
        <w:rPr>
          <w:sz w:val="28"/>
          <w:lang w:val="it-IT"/>
        </w:rPr>
        <w:t>Passare a amisulpride. Considerare anche sulpiride, aloperidolo e trifluoperazina.</w:t>
      </w:r>
    </w:p>
    <w:p w:rsidR="00000000" w:rsidRDefault="00AC28BE">
      <w:pPr>
        <w:rPr>
          <w:b/>
          <w:sz w:val="40"/>
          <w:lang w:val="it-IT"/>
        </w:rPr>
      </w:pPr>
      <w:r>
        <w:rPr>
          <w:b/>
          <w:lang w:val="it-IT"/>
        </w:rPr>
        <w:br w:type="page"/>
      </w:r>
      <w:r>
        <w:rPr>
          <w:b/>
          <w:sz w:val="40"/>
          <w:lang w:val="it-IT"/>
        </w:rPr>
        <w:lastRenderedPageBreak/>
        <w:t>PRESCRIVERE NELLA SCHIZOFRENIA</w:t>
      </w:r>
    </w:p>
    <w:p w:rsidR="00000000" w:rsidRDefault="00AC28BE">
      <w:pPr>
        <w:rPr>
          <w:b/>
          <w:lang w:val="it-IT"/>
        </w:rPr>
      </w:pPr>
    </w:p>
    <w:p w:rsidR="00000000" w:rsidRDefault="00AC28BE">
      <w:pPr>
        <w:rPr>
          <w:b/>
          <w:lang w:val="it-IT"/>
        </w:rPr>
      </w:pPr>
    </w:p>
    <w:p w:rsidR="00000000" w:rsidRDefault="00AC28BE">
      <w:pPr>
        <w:rPr>
          <w:b/>
          <w:lang w:val="it-IT"/>
        </w:rPr>
      </w:pPr>
    </w:p>
    <w:p w:rsidR="00000000" w:rsidRDefault="00AC28BE">
      <w:pPr>
        <w:pStyle w:val="Didascalia"/>
      </w:pPr>
      <w:r>
        <w:t>ANTIPSICOTICI ATIPICI</w:t>
      </w:r>
    </w:p>
    <w:p w:rsidR="00000000" w:rsidRDefault="00AC28BE">
      <w:pPr>
        <w:jc w:val="center"/>
        <w:rPr>
          <w:b/>
          <w:sz w:val="40"/>
          <w:lang w:val="it-IT"/>
        </w:rPr>
      </w:pPr>
    </w:p>
    <w:p w:rsidR="00000000" w:rsidRDefault="00AC28BE">
      <w:pPr>
        <w:jc w:val="center"/>
        <w:rPr>
          <w:b/>
          <w:sz w:val="40"/>
          <w:lang w:val="it-IT"/>
        </w:rPr>
      </w:pPr>
      <w:r>
        <w:rPr>
          <w:b/>
          <w:sz w:val="40"/>
          <w:lang w:val="it-IT"/>
        </w:rPr>
        <w:t>Raggiungimento del dosaggio ottimale</w:t>
      </w:r>
    </w:p>
    <w:p w:rsidR="00000000" w:rsidRDefault="00AC28BE">
      <w:pPr>
        <w:rPr>
          <w:lang w:val="it-IT"/>
        </w:rPr>
      </w:pPr>
    </w:p>
    <w:p w:rsidR="00000000" w:rsidRDefault="00AC28BE">
      <w:pPr>
        <w:ind w:left="2160" w:firstLine="720"/>
        <w:rPr>
          <w:sz w:val="28"/>
          <w:lang w:val="it-IT"/>
        </w:rPr>
      </w:pPr>
    </w:p>
    <w:p w:rsidR="00000000" w:rsidRDefault="00AC28BE">
      <w:pPr>
        <w:ind w:left="2160" w:firstLine="720"/>
        <w:rPr>
          <w:sz w:val="28"/>
          <w:lang w:val="it-IT"/>
        </w:rPr>
      </w:pPr>
    </w:p>
    <w:p w:rsidR="00000000" w:rsidRDefault="00AC28BE">
      <w:pPr>
        <w:numPr>
          <w:ilvl w:val="0"/>
          <w:numId w:val="18"/>
        </w:numPr>
        <w:rPr>
          <w:sz w:val="28"/>
          <w:lang w:val="it-IT"/>
        </w:rPr>
      </w:pPr>
      <w:r>
        <w:rPr>
          <w:sz w:val="28"/>
          <w:lang w:val="it-IT"/>
        </w:rPr>
        <w:t xml:space="preserve">Iniziare il farmaco </w:t>
      </w: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ab/>
      </w:r>
    </w:p>
    <w:p w:rsidR="00000000" w:rsidRDefault="00AC28BE">
      <w:pPr>
        <w:numPr>
          <w:ilvl w:val="0"/>
          <w:numId w:val="18"/>
        </w:numPr>
        <w:rPr>
          <w:sz w:val="28"/>
          <w:lang w:val="it-IT"/>
        </w:rPr>
      </w:pPr>
      <w:r>
        <w:rPr>
          <w:sz w:val="28"/>
          <w:lang w:val="it-IT"/>
        </w:rPr>
        <w:t>Aumentare fino al</w:t>
      </w:r>
      <w:r>
        <w:rPr>
          <w:sz w:val="28"/>
          <w:lang w:val="it-IT"/>
        </w:rPr>
        <w:t>la dose minima efficace. Se necessario, aggiungere un farmaco sedativo per controllare il comportamento.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18"/>
        </w:numPr>
        <w:rPr>
          <w:sz w:val="28"/>
          <w:lang w:val="it-IT"/>
        </w:rPr>
      </w:pPr>
      <w:r>
        <w:rPr>
          <w:sz w:val="28"/>
          <w:lang w:val="it-IT"/>
        </w:rPr>
        <w:t>Valutare per almeno due settimane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jc w:val="center"/>
        <w:rPr>
          <w:b/>
          <w:i/>
          <w:sz w:val="28"/>
          <w:lang w:val="it-IT"/>
        </w:rPr>
      </w:pPr>
      <w:r>
        <w:rPr>
          <w:b/>
          <w:i/>
          <w:sz w:val="28"/>
          <w:lang w:val="it-IT"/>
        </w:rPr>
        <w:t>Risposta assente</w:t>
      </w:r>
    </w:p>
    <w:p w:rsidR="00000000" w:rsidRDefault="00AC28BE">
      <w:pPr>
        <w:ind w:left="5760"/>
        <w:rPr>
          <w:sz w:val="28"/>
          <w:lang w:val="it-IT"/>
        </w:rPr>
      </w:pPr>
      <w:r>
        <w:rPr>
          <w:i/>
          <w:noProof/>
          <w:sz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2" type="#_x0000_t67" style="position:absolute;left:0;text-align:left;margin-left:223.2pt;margin-top:11.4pt;width:9pt;height:27pt;z-index:12" o:allowincell="f"/>
        </w:pict>
      </w:r>
    </w:p>
    <w:p w:rsidR="00000000" w:rsidRDefault="00AC28BE">
      <w:pPr>
        <w:ind w:left="5760"/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18"/>
        </w:numPr>
        <w:rPr>
          <w:sz w:val="28"/>
          <w:lang w:val="it-IT"/>
        </w:rPr>
      </w:pPr>
      <w:r>
        <w:rPr>
          <w:sz w:val="28"/>
          <w:lang w:val="it-IT"/>
        </w:rPr>
        <w:t>Aumentare la dose del 25-50% o secondo le raccomandazioni della casa produttrice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18"/>
        </w:numPr>
        <w:rPr>
          <w:sz w:val="28"/>
          <w:lang w:val="it-IT"/>
        </w:rPr>
      </w:pPr>
      <w:r>
        <w:rPr>
          <w:sz w:val="28"/>
          <w:lang w:val="it-IT"/>
        </w:rPr>
        <w:t>Ripetere l</w:t>
      </w:r>
      <w:r>
        <w:rPr>
          <w:sz w:val="28"/>
          <w:lang w:val="it-IT"/>
        </w:rPr>
        <w:t>a valutazione e aumentare se necessario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18"/>
        </w:numPr>
        <w:rPr>
          <w:sz w:val="28"/>
          <w:lang w:val="it-IT"/>
        </w:rPr>
      </w:pPr>
      <w:r>
        <w:rPr>
          <w:sz w:val="28"/>
          <w:lang w:val="it-IT"/>
        </w:rPr>
        <w:t>Interrompere il</w:t>
      </w:r>
      <w:r>
        <w:rPr>
          <w:sz w:val="28"/>
          <w:lang w:val="it-IT"/>
        </w:rPr>
        <w:tab/>
        <w:t>farmaco se la risposta alla massima dose per due o piu’ settimane e’ insufficiente.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b/>
          <w:lang w:val="it-IT"/>
        </w:rPr>
      </w:pPr>
      <w:r>
        <w:br w:type="page"/>
      </w:r>
    </w:p>
    <w:p w:rsidR="00000000" w:rsidRDefault="00AC28BE">
      <w:pPr>
        <w:pStyle w:val="Titolo4"/>
        <w:rPr>
          <w:sz w:val="36"/>
        </w:rPr>
      </w:pPr>
      <w:r>
        <w:rPr>
          <w:sz w:val="36"/>
        </w:rPr>
        <w:t>L’uso degli antipsicotici tipici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rPr>
          <w:sz w:val="28"/>
          <w:lang w:val="it-IT"/>
        </w:rPr>
      </w:pPr>
      <w:r>
        <w:rPr>
          <w:sz w:val="28"/>
          <w:lang w:val="it-IT"/>
        </w:rPr>
        <w:t>Largamente usati negli ultimi 50 anni. Non costosi. Vasta letteratura sui l</w:t>
      </w:r>
      <w:r>
        <w:rPr>
          <w:sz w:val="28"/>
          <w:lang w:val="it-IT"/>
        </w:rPr>
        <w:t>oro effetti terapeutici e collaterali.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rPr>
          <w:sz w:val="28"/>
          <w:lang w:val="it-IT"/>
        </w:rPr>
      </w:pPr>
      <w:r>
        <w:rPr>
          <w:sz w:val="28"/>
          <w:lang w:val="it-IT"/>
        </w:rPr>
        <w:t xml:space="preserve">Effetti extrapiramidali acuti, iperprolattinemia e la discinesia tardiva sono conseguenze note. Non esiste evidenza che l’uso di basse dosi di neurolettici tipici riduca la severita’ degli effetti collaterali: tutti </w:t>
      </w:r>
      <w:r>
        <w:rPr>
          <w:sz w:val="28"/>
          <w:lang w:val="it-IT"/>
        </w:rPr>
        <w:t>gli effetti collaterali dei neurolettici tipici compaiono gia’ a dosi subterapeutiche. Anche la profilassi con anticolinergici e’ solo parzialmente efficace nella prevenzione dei disturbi del movimento, e gli anticolinergici possono peggiorare i deficit co</w:t>
      </w:r>
      <w:r>
        <w:rPr>
          <w:sz w:val="28"/>
          <w:lang w:val="it-IT"/>
        </w:rPr>
        <w:t>gnitivi gia’ presenti nella schizofrenia.</w:t>
      </w:r>
    </w:p>
    <w:p w:rsidR="00000000" w:rsidRDefault="00AC28BE">
      <w:pPr>
        <w:tabs>
          <w:tab w:val="num" w:pos="0"/>
        </w:tabs>
        <w:rPr>
          <w:sz w:val="28"/>
          <w:lang w:val="it-IT"/>
        </w:rPr>
      </w:pPr>
    </w:p>
    <w:p w:rsidR="00000000" w:rsidRDefault="00AC28BE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rPr>
          <w:sz w:val="28"/>
          <w:lang w:val="it-IT"/>
        </w:rPr>
      </w:pPr>
      <w:r>
        <w:rPr>
          <w:sz w:val="28"/>
          <w:lang w:val="it-IT"/>
        </w:rPr>
        <w:t>Anche qualora un paziente abbia risposto ad una terapia di mantenimento con neurolettici tipici, ed il farmaco tipico e’ efficace e ben tollerato, il rischio di discinesia tardiva dovrebbe comunque sempre essere p</w:t>
      </w:r>
      <w:r>
        <w:rPr>
          <w:sz w:val="28"/>
          <w:lang w:val="it-IT"/>
        </w:rPr>
        <w:t xml:space="preserve">reso in considerazione. </w:t>
      </w:r>
    </w:p>
    <w:p w:rsidR="00000000" w:rsidRDefault="00AC28BE">
      <w:pPr>
        <w:tabs>
          <w:tab w:val="num" w:pos="0"/>
        </w:tabs>
        <w:rPr>
          <w:sz w:val="28"/>
          <w:lang w:val="it-IT"/>
        </w:rPr>
      </w:pPr>
    </w:p>
    <w:p w:rsidR="00000000" w:rsidRDefault="00AC28BE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rPr>
          <w:sz w:val="28"/>
          <w:lang w:val="it-IT"/>
        </w:rPr>
      </w:pPr>
      <w:r>
        <w:rPr>
          <w:sz w:val="28"/>
          <w:lang w:val="it-IT"/>
        </w:rPr>
        <w:t>Spesso la scelta di utilizzare un neurolettico atipico e’ influenzata dai piani di spesa sanitaria a livello locale. Considerare anche che molti pazienti tollerano i neurolettici tipici molto bene e in alcuni casi possono addiritt</w:t>
      </w:r>
      <w:r>
        <w:rPr>
          <w:sz w:val="28"/>
          <w:lang w:val="it-IT"/>
        </w:rPr>
        <w:t>ura preferirli agli atipici.</w:t>
      </w:r>
    </w:p>
    <w:p w:rsidR="00000000" w:rsidRDefault="00AC28BE">
      <w:pPr>
        <w:tabs>
          <w:tab w:val="num" w:pos="0"/>
        </w:tabs>
        <w:rPr>
          <w:sz w:val="28"/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jc w:val="center"/>
        <w:rPr>
          <w:b/>
          <w:sz w:val="40"/>
          <w:lang w:val="it-IT"/>
        </w:rPr>
      </w:pPr>
      <w:r>
        <w:rPr>
          <w:b/>
          <w:lang w:val="it-IT"/>
        </w:rPr>
        <w:br w:type="page"/>
      </w:r>
      <w:r>
        <w:rPr>
          <w:b/>
          <w:sz w:val="40"/>
          <w:lang w:val="it-IT"/>
        </w:rPr>
        <w:lastRenderedPageBreak/>
        <w:t>L’OTTIMIZZAZIONE DEL</w:t>
      </w:r>
    </w:p>
    <w:p w:rsidR="00000000" w:rsidRDefault="00AC28BE">
      <w:pPr>
        <w:jc w:val="center"/>
        <w:rPr>
          <w:b/>
          <w:sz w:val="40"/>
          <w:lang w:val="it-IT"/>
        </w:rPr>
      </w:pPr>
      <w:r>
        <w:rPr>
          <w:b/>
          <w:sz w:val="40"/>
          <w:lang w:val="it-IT"/>
        </w:rPr>
        <w:t>TRATTAMENTO CON CLOZAPINA</w:t>
      </w:r>
    </w:p>
    <w:p w:rsidR="00000000" w:rsidRDefault="00AC28BE">
      <w:pPr>
        <w:rPr>
          <w:lang w:val="it-IT"/>
        </w:rPr>
      </w:pPr>
      <w:r>
        <w:rPr>
          <w:lang w:val="it-IT"/>
        </w:rPr>
        <w:tab/>
      </w:r>
    </w:p>
    <w:p w:rsidR="00000000" w:rsidRDefault="00AC28BE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8"/>
        <w:gridCol w:w="666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AC28BE">
            <w:pPr>
              <w:pStyle w:val="Titolo1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Dose ottimale</w:t>
            </w:r>
          </w:p>
          <w:p w:rsidR="00000000" w:rsidRDefault="00AC28BE">
            <w:pPr>
              <w:rPr>
                <w:i/>
                <w:sz w:val="28"/>
                <w:lang w:val="it-IT"/>
              </w:rPr>
            </w:pPr>
            <w:r>
              <w:rPr>
                <w:i/>
                <w:sz w:val="28"/>
                <w:lang w:val="it-IT"/>
              </w:rPr>
              <w:t>(NB: La dose ottimale viene stabilita in base alla tollerabilita’ del paziente)</w:t>
            </w:r>
          </w:p>
        </w:tc>
        <w:tc>
          <w:tcPr>
            <w:tcW w:w="6660" w:type="dxa"/>
          </w:tcPr>
          <w:p w:rsidR="00000000" w:rsidRDefault="00AC28BE">
            <w:pPr>
              <w:numPr>
                <w:ilvl w:val="0"/>
                <w:numId w:val="8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La dose media nel Regno Unito e’ circa 450 mg/die </w:t>
            </w:r>
          </w:p>
          <w:p w:rsidR="00000000" w:rsidRDefault="00AC28BE">
            <w:pPr>
              <w:ind w:left="360"/>
              <w:rPr>
                <w:sz w:val="28"/>
                <w:lang w:val="it-IT"/>
              </w:rPr>
            </w:pPr>
          </w:p>
          <w:p w:rsidR="00000000" w:rsidRDefault="00AC28BE">
            <w:pPr>
              <w:numPr>
                <w:ilvl w:val="0"/>
                <w:numId w:val="8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Il paziente risponde normal</w:t>
            </w:r>
            <w:r>
              <w:rPr>
                <w:sz w:val="28"/>
                <w:lang w:val="it-IT"/>
              </w:rPr>
              <w:t>mente a 150-900 mg/die</w:t>
            </w:r>
          </w:p>
          <w:p w:rsidR="00000000" w:rsidRDefault="00AC28BE">
            <w:pPr>
              <w:ind w:left="360"/>
              <w:rPr>
                <w:sz w:val="28"/>
                <w:lang w:val="it-IT"/>
              </w:rPr>
            </w:pPr>
          </w:p>
          <w:p w:rsidR="00000000" w:rsidRDefault="00AC28BE">
            <w:pPr>
              <w:numPr>
                <w:ilvl w:val="0"/>
                <w:numId w:val="8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Dosi inferiori sono necessarie nei pazienti anziani, nelle donne, e in pazienti in trattamento con farmaci inibitori degli enzimi epatici</w:t>
            </w:r>
          </w:p>
          <w:p w:rsidR="00000000" w:rsidRDefault="00AC28BE">
            <w:pPr>
              <w:ind w:left="360"/>
              <w:rPr>
                <w:sz w:val="28"/>
                <w:lang w:val="it-IT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88" w:type="dxa"/>
          </w:tcPr>
          <w:p w:rsidR="00000000" w:rsidRDefault="00AC28BE">
            <w:pPr>
              <w:pStyle w:val="Titolo1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Livelli plasmatici</w:t>
            </w:r>
          </w:p>
        </w:tc>
        <w:tc>
          <w:tcPr>
            <w:tcW w:w="6660" w:type="dxa"/>
          </w:tcPr>
          <w:p w:rsidR="00000000" w:rsidRDefault="00AC28BE">
            <w:pPr>
              <w:numPr>
                <w:ilvl w:val="0"/>
                <w:numId w:val="9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La maggior parte degli studi indica che la soglia per la risposta al trat</w:t>
            </w:r>
            <w:r>
              <w:rPr>
                <w:sz w:val="28"/>
                <w:lang w:val="it-IT"/>
              </w:rPr>
              <w:t>tamento corrisponde a 350-420 mcg/L. In alcuni casi, la soglia puo’ essere pari a 500 mcg/L</w:t>
            </w:r>
          </w:p>
          <w:p w:rsidR="00000000" w:rsidRDefault="00AC28BE">
            <w:pPr>
              <w:ind w:left="360"/>
              <w:rPr>
                <w:sz w:val="28"/>
                <w:lang w:val="it-IT"/>
              </w:rPr>
            </w:pPr>
          </w:p>
          <w:p w:rsidR="00000000" w:rsidRDefault="00AC28BE">
            <w:pPr>
              <w:numPr>
                <w:ilvl w:val="0"/>
                <w:numId w:val="9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L’importanza dei livelli di nor-clozapina non e’ stata stabilita</w:t>
            </w:r>
          </w:p>
          <w:p w:rsidR="00000000" w:rsidRDefault="00AC28BE">
            <w:pPr>
              <w:ind w:left="360"/>
              <w:rPr>
                <w:sz w:val="28"/>
                <w:lang w:val="it-IT"/>
              </w:rPr>
            </w:pPr>
          </w:p>
        </w:tc>
      </w:tr>
    </w:tbl>
    <w:p w:rsidR="00000000" w:rsidRDefault="00AC28BE">
      <w:pPr>
        <w:rPr>
          <w:lang w:val="it-IT"/>
        </w:rPr>
      </w:pPr>
    </w:p>
    <w:p w:rsidR="00000000" w:rsidRDefault="00AC28BE">
      <w:pPr>
        <w:rPr>
          <w:b/>
          <w:sz w:val="28"/>
          <w:lang w:val="it-IT"/>
        </w:rPr>
      </w:pPr>
      <w:r>
        <w:rPr>
          <w:b/>
          <w:sz w:val="28"/>
          <w:lang w:val="it-IT"/>
        </w:rPr>
        <w:t>Qualora il trattamento con clozapina per 3-6 mesi non abbia portato ad alcun chiaro beneficio:</w:t>
      </w:r>
    </w:p>
    <w:p w:rsidR="00000000" w:rsidRDefault="00AC28BE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68"/>
        <w:gridCol w:w="55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Aggiungere </w:t>
            </w:r>
            <w:r>
              <w:rPr>
                <w:b/>
                <w:sz w:val="28"/>
                <w:lang w:val="it-IT"/>
              </w:rPr>
              <w:t>sulpiride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(400 mg/die)</w:t>
            </w:r>
          </w:p>
        </w:tc>
        <w:tc>
          <w:tcPr>
            <w:tcW w:w="5580" w:type="dxa"/>
          </w:tcPr>
          <w:p w:rsidR="00000000" w:rsidRDefault="00AC28BE">
            <w:pPr>
              <w:numPr>
                <w:ilvl w:val="0"/>
                <w:numId w:val="10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Puo’ essere utile in pazienti che non rispondono o rispondono solo parzialmente al trattamento con sola clozapina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Aggiungere </w:t>
            </w:r>
            <w:r>
              <w:rPr>
                <w:b/>
                <w:sz w:val="28"/>
                <w:lang w:val="it-IT"/>
              </w:rPr>
              <w:t xml:space="preserve">lamotrigina </w:t>
            </w:r>
            <w:r>
              <w:rPr>
                <w:sz w:val="28"/>
                <w:lang w:val="it-IT"/>
              </w:rPr>
              <w:t>(25-200 mg/die)</w:t>
            </w:r>
          </w:p>
        </w:tc>
        <w:tc>
          <w:tcPr>
            <w:tcW w:w="5580" w:type="dxa"/>
          </w:tcPr>
          <w:p w:rsidR="00000000" w:rsidRDefault="00AC28BE">
            <w:pPr>
              <w:numPr>
                <w:ilvl w:val="0"/>
                <w:numId w:val="10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Come per la sulpiride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Aggiungere </w:t>
            </w:r>
            <w:r>
              <w:rPr>
                <w:b/>
                <w:sz w:val="28"/>
                <w:lang w:val="it-IT"/>
              </w:rPr>
              <w:t>risperidone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(2 mg/die)</w:t>
            </w:r>
          </w:p>
        </w:tc>
        <w:tc>
          <w:tcPr>
            <w:tcW w:w="5580" w:type="dxa"/>
          </w:tcPr>
          <w:p w:rsidR="00000000" w:rsidRDefault="00AC28BE">
            <w:pPr>
              <w:numPr>
                <w:ilvl w:val="0"/>
                <w:numId w:val="10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Aumenta i</w:t>
            </w:r>
            <w:r>
              <w:rPr>
                <w:sz w:val="28"/>
                <w:lang w:val="it-IT"/>
              </w:rPr>
              <w:t xml:space="preserve"> livelli plasmatici di clozapina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Aggiungere </w:t>
            </w:r>
            <w:r>
              <w:rPr>
                <w:b/>
                <w:sz w:val="28"/>
                <w:lang w:val="it-IT"/>
              </w:rPr>
              <w:t>trigliceridi-omega-3 (</w:t>
            </w:r>
            <w:r>
              <w:rPr>
                <w:sz w:val="28"/>
                <w:lang w:val="it-IT"/>
              </w:rPr>
              <w:t>Maxepa 5gr due volte al giorno)</w:t>
            </w:r>
          </w:p>
        </w:tc>
        <w:tc>
          <w:tcPr>
            <w:tcW w:w="5580" w:type="dxa"/>
          </w:tcPr>
          <w:p w:rsidR="00000000" w:rsidRDefault="00AC28BE">
            <w:pPr>
              <w:numPr>
                <w:ilvl w:val="0"/>
                <w:numId w:val="10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Effetto dubbio e comunque modesto in pazienti che non rispondono o rispondono solo parzialmente ai farmaci antipsicotici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168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Provare </w:t>
            </w:r>
            <w:r>
              <w:rPr>
                <w:b/>
                <w:sz w:val="28"/>
                <w:lang w:val="it-IT"/>
              </w:rPr>
              <w:t>amisulpride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(400-800 mg/di</w:t>
            </w:r>
            <w:r>
              <w:rPr>
                <w:sz w:val="28"/>
                <w:lang w:val="it-IT"/>
              </w:rPr>
              <w:t xml:space="preserve">e) o </w:t>
            </w:r>
            <w:r>
              <w:rPr>
                <w:b/>
                <w:sz w:val="28"/>
                <w:lang w:val="it-IT"/>
              </w:rPr>
              <w:t>ALP</w:t>
            </w:r>
            <w:r>
              <w:rPr>
                <w:sz w:val="28"/>
                <w:lang w:val="it-IT"/>
              </w:rPr>
              <w:t xml:space="preserve"> (2 mg/die) o </w:t>
            </w:r>
            <w:r>
              <w:rPr>
                <w:b/>
                <w:sz w:val="28"/>
                <w:lang w:val="it-IT"/>
              </w:rPr>
              <w:t>nefazodone</w:t>
            </w:r>
            <w:r>
              <w:rPr>
                <w:sz w:val="28"/>
                <w:lang w:val="it-IT"/>
              </w:rPr>
              <w:t xml:space="preserve"> (400-600 mg/die)</w:t>
            </w:r>
          </w:p>
        </w:tc>
        <w:tc>
          <w:tcPr>
            <w:tcW w:w="5580" w:type="dxa"/>
          </w:tcPr>
          <w:p w:rsidR="00000000" w:rsidRDefault="00AC28BE">
            <w:pPr>
              <w:numPr>
                <w:ilvl w:val="0"/>
                <w:numId w:val="10"/>
              </w:num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Osservazioni anedottiche non pubblicate</w:t>
            </w:r>
          </w:p>
        </w:tc>
      </w:tr>
    </w:tbl>
    <w:p w:rsidR="00000000" w:rsidRDefault="00AC28BE">
      <w:pPr>
        <w:jc w:val="center"/>
        <w:rPr>
          <w:b/>
          <w:sz w:val="40"/>
          <w:lang w:val="it-IT"/>
        </w:rPr>
      </w:pPr>
      <w:r>
        <w:rPr>
          <w:b/>
          <w:sz w:val="40"/>
          <w:lang w:val="it-IT"/>
        </w:rPr>
        <w:lastRenderedPageBreak/>
        <w:t>SCHIZOFRENIA RESISTENTE AL TRATTAMENTO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b/>
          <w:sz w:val="32"/>
          <w:lang w:val="it-IT"/>
        </w:rPr>
      </w:pPr>
      <w:r>
        <w:rPr>
          <w:b/>
          <w:sz w:val="32"/>
          <w:lang w:val="it-IT"/>
        </w:rPr>
        <w:t>Alternative alla clozapina (quando quest’ultima si sia rivelata tossica o controindicata):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4"/>
        <w:gridCol w:w="426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264" w:type="dxa"/>
          </w:tcPr>
          <w:p w:rsidR="00000000" w:rsidRDefault="00AC28BE">
            <w:pPr>
              <w:rPr>
                <w:b/>
                <w:sz w:val="28"/>
                <w:lang w:val="it-IT"/>
              </w:rPr>
            </w:pPr>
            <w:r>
              <w:rPr>
                <w:b/>
                <w:sz w:val="28"/>
                <w:lang w:val="it-IT"/>
              </w:rPr>
              <w:t>Terapia</w:t>
            </w:r>
          </w:p>
        </w:tc>
        <w:tc>
          <w:tcPr>
            <w:tcW w:w="4264" w:type="dxa"/>
          </w:tcPr>
          <w:p w:rsidR="00000000" w:rsidRDefault="00AC28BE">
            <w:pPr>
              <w:rPr>
                <w:b/>
                <w:sz w:val="28"/>
                <w:lang w:val="it-IT"/>
              </w:rPr>
            </w:pPr>
            <w:r>
              <w:rPr>
                <w:b/>
                <w:sz w:val="28"/>
                <w:lang w:val="it-IT"/>
              </w:rPr>
              <w:t>Commenti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64" w:type="dxa"/>
          </w:tcPr>
          <w:p w:rsidR="00000000" w:rsidRDefault="00AC28BE">
            <w:pPr>
              <w:pStyle w:val="Titolo1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Risperidone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4</w:t>
            </w:r>
            <w:r>
              <w:rPr>
                <w:sz w:val="28"/>
                <w:lang w:val="it-IT"/>
              </w:rPr>
              <w:t>-8 mg/die</w:t>
            </w:r>
          </w:p>
        </w:tc>
        <w:tc>
          <w:tcPr>
            <w:tcW w:w="4264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Efficacia dubbia nella schizofrenia resistente al trattamento.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64" w:type="dxa"/>
          </w:tcPr>
          <w:p w:rsidR="00000000" w:rsidRDefault="00AC28BE">
            <w:pPr>
              <w:pStyle w:val="Titolo1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Olanzapina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5-25 mg/die</w:t>
            </w:r>
          </w:p>
        </w:tc>
        <w:tc>
          <w:tcPr>
            <w:tcW w:w="4264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Probabilmente non efficace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64" w:type="dxa"/>
          </w:tcPr>
          <w:p w:rsidR="00000000" w:rsidRDefault="00AC28BE">
            <w:pPr>
              <w:rPr>
                <w:b/>
                <w:sz w:val="28"/>
                <w:lang w:val="it-IT"/>
              </w:rPr>
            </w:pPr>
            <w:r>
              <w:rPr>
                <w:b/>
                <w:sz w:val="28"/>
                <w:lang w:val="it-IT"/>
              </w:rPr>
              <w:t>Olanzapina</w:t>
            </w:r>
            <w:r>
              <w:rPr>
                <w:sz w:val="28"/>
                <w:lang w:val="it-IT"/>
              </w:rPr>
              <w:t xml:space="preserve"> </w:t>
            </w:r>
            <w:r>
              <w:rPr>
                <w:b/>
                <w:sz w:val="28"/>
                <w:lang w:val="it-IT"/>
              </w:rPr>
              <w:t>ad alte dosi</w:t>
            </w:r>
          </w:p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30-60 mg/die</w:t>
            </w:r>
          </w:p>
        </w:tc>
        <w:tc>
          <w:tcPr>
            <w:tcW w:w="4264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E’ possibile che sia efficace, ma si tratta di una terapia costosa e al di fuori delle dosi ra</w:t>
            </w:r>
            <w:r>
              <w:rPr>
                <w:sz w:val="28"/>
                <w:lang w:val="it-IT"/>
              </w:rPr>
              <w:t>ccomandate. Non vi sono studi randomizzati controllati.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264" w:type="dxa"/>
          </w:tcPr>
          <w:p w:rsidR="00000000" w:rsidRDefault="00AC28BE">
            <w:pPr>
              <w:pStyle w:val="Titolo1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Trigliceridi-Omega-3</w:t>
            </w:r>
          </w:p>
        </w:tc>
        <w:tc>
          <w:tcPr>
            <w:tcW w:w="4264" w:type="dxa"/>
          </w:tcPr>
          <w:p w:rsidR="00000000" w:rsidRDefault="00AC28BE">
            <w:pPr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>Efficacia suggerita ma sono pochi i dati disponibili</w:t>
            </w:r>
          </w:p>
        </w:tc>
      </w:tr>
    </w:tbl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NB: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- In base all’evidenza riportata in letteratura, solo la clozapina e’ efficace nella schizofrenia resistente.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- Le t</w:t>
      </w:r>
      <w:r>
        <w:rPr>
          <w:sz w:val="28"/>
          <w:lang w:val="it-IT"/>
        </w:rPr>
        <w:t>erapie indicate in precedenza dovrebbero essere utilizzate al posto della clozapina solo quando la clozapina non possa essere utilizzata a causa della tossicita’ o di non tollerabilita’.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t>- Passare dalla clozapina ad un altro neurolettico atipico ha di sol</w:t>
      </w:r>
      <w:r>
        <w:rPr>
          <w:sz w:val="28"/>
          <w:lang w:val="it-IT"/>
        </w:rPr>
        <w:t>ito conseguenze fallimentari o disastrose, e non andrebbe fatto se non quando la clozapina abbia indotto effetti collaterali molto gravi.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jc w:val="center"/>
        <w:rPr>
          <w:b/>
          <w:sz w:val="40"/>
          <w:lang w:val="it-IT"/>
        </w:rPr>
      </w:pPr>
      <w:r>
        <w:rPr>
          <w:sz w:val="28"/>
          <w:lang w:val="it-IT"/>
        </w:rPr>
        <w:br w:type="page"/>
      </w:r>
      <w:r>
        <w:rPr>
          <w:b/>
          <w:sz w:val="40"/>
          <w:lang w:val="it-IT"/>
        </w:rPr>
        <w:lastRenderedPageBreak/>
        <w:t>L’USO DI FARMACI DEPOT</w:t>
      </w:r>
    </w:p>
    <w:p w:rsidR="00000000" w:rsidRDefault="00AC28BE">
      <w:pPr>
        <w:rPr>
          <w:lang w:val="it-IT"/>
        </w:rPr>
      </w:pPr>
    </w:p>
    <w:p w:rsidR="00000000" w:rsidRDefault="00AC28BE">
      <w:pPr>
        <w:rPr>
          <w:lang w:val="it-IT"/>
        </w:rPr>
      </w:pPr>
    </w:p>
    <w:p w:rsidR="00000000" w:rsidRDefault="00AC28BE">
      <w:pPr>
        <w:numPr>
          <w:ilvl w:val="0"/>
          <w:numId w:val="11"/>
        </w:numPr>
        <w:rPr>
          <w:sz w:val="28"/>
          <w:lang w:val="it-IT"/>
        </w:rPr>
      </w:pPr>
      <w:r>
        <w:rPr>
          <w:lang w:val="it-IT"/>
        </w:rPr>
        <w:t xml:space="preserve"> </w:t>
      </w:r>
      <w:r>
        <w:rPr>
          <w:sz w:val="28"/>
          <w:lang w:val="it-IT"/>
        </w:rPr>
        <w:t>Dare sempre una dose di prova (qualsiasi effetto collaterale sara’ molto prolungato). Dopo</w:t>
      </w:r>
      <w:r>
        <w:rPr>
          <w:sz w:val="28"/>
          <w:lang w:val="it-IT"/>
        </w:rPr>
        <w:t xml:space="preserve"> 4-10 giorni si può iniziare ad aumentare il dosaggio per raggiungere la dose di mantenimento.</w:t>
      </w:r>
    </w:p>
    <w:p w:rsidR="00000000" w:rsidRDefault="00AC28BE">
      <w:pPr>
        <w:ind w:left="360"/>
        <w:rPr>
          <w:sz w:val="28"/>
          <w:lang w:val="it-IT"/>
        </w:rPr>
      </w:pPr>
    </w:p>
    <w:p w:rsidR="00000000" w:rsidRDefault="00AC28BE">
      <w:pPr>
        <w:numPr>
          <w:ilvl w:val="0"/>
          <w:numId w:val="11"/>
        </w:numPr>
        <w:rPr>
          <w:sz w:val="28"/>
          <w:lang w:val="it-IT"/>
        </w:rPr>
      </w:pPr>
      <w:r>
        <w:rPr>
          <w:sz w:val="28"/>
          <w:lang w:val="it-IT"/>
        </w:rPr>
        <w:t xml:space="preserve"> Iniziare con il dosaggio terapeutico minimo (pochi dati dimostrano una chiara relazione dose-risposta per le preparazioni depot. Vi sono alcuni dati che indica</w:t>
      </w:r>
      <w:r>
        <w:rPr>
          <w:sz w:val="28"/>
          <w:lang w:val="it-IT"/>
        </w:rPr>
        <w:t>no che il basso dosaggio e’ efficace almeno quanto un dosaggio piu’ elevato. I dosaggi piu’ bassi sono meglio tollerati e meno costosi.)</w:t>
      </w:r>
    </w:p>
    <w:p w:rsidR="00000000" w:rsidRDefault="00AC28BE">
      <w:pPr>
        <w:ind w:left="720"/>
        <w:rPr>
          <w:sz w:val="28"/>
          <w:lang w:val="it-IT"/>
        </w:rPr>
      </w:pPr>
    </w:p>
    <w:p w:rsidR="00000000" w:rsidRDefault="00AC28BE">
      <w:pPr>
        <w:numPr>
          <w:ilvl w:val="0"/>
          <w:numId w:val="11"/>
        </w:numPr>
        <w:rPr>
          <w:lang w:val="it-IT"/>
        </w:rPr>
      </w:pPr>
      <w:r>
        <w:rPr>
          <w:sz w:val="28"/>
          <w:lang w:val="it-IT"/>
        </w:rPr>
        <w:t>Utilizzare il massimo intervallo raccomandato tra le successive somministrazioni.</w:t>
      </w:r>
    </w:p>
    <w:p w:rsidR="00000000" w:rsidRDefault="00AC28BE">
      <w:pPr>
        <w:rPr>
          <w:sz w:val="28"/>
          <w:lang w:val="it-IT"/>
        </w:rPr>
      </w:pPr>
    </w:p>
    <w:p w:rsidR="00000000" w:rsidRDefault="00AC28BE">
      <w:pPr>
        <w:numPr>
          <w:ilvl w:val="0"/>
          <w:numId w:val="11"/>
        </w:numPr>
        <w:rPr>
          <w:lang w:val="it-IT"/>
        </w:rPr>
      </w:pPr>
      <w:r>
        <w:rPr>
          <w:sz w:val="28"/>
          <w:lang w:val="it-IT"/>
        </w:rPr>
        <w:t>Modificare il dosaggio solo dopo un</w:t>
      </w:r>
      <w:r>
        <w:rPr>
          <w:sz w:val="28"/>
          <w:lang w:val="it-IT"/>
        </w:rPr>
        <w:t xml:space="preserve"> periodo di valutazione adeguato.</w:t>
      </w:r>
      <w:r>
        <w:rPr>
          <w:lang w:val="it-IT"/>
        </w:rPr>
        <w:t xml:space="preserve"> </w:t>
      </w:r>
    </w:p>
    <w:p w:rsidR="00000000" w:rsidRDefault="00AC28BE">
      <w:pPr>
        <w:rPr>
          <w:lang w:val="it-IT"/>
        </w:rPr>
      </w:pPr>
    </w:p>
    <w:p w:rsidR="00000000" w:rsidRDefault="00AC28BE">
      <w:pPr>
        <w:numPr>
          <w:ilvl w:val="0"/>
          <w:numId w:val="11"/>
        </w:numPr>
        <w:rPr>
          <w:sz w:val="28"/>
          <w:lang w:val="it-IT"/>
        </w:rPr>
      </w:pPr>
      <w:r>
        <w:rPr>
          <w:sz w:val="28"/>
          <w:lang w:val="it-IT"/>
        </w:rPr>
        <w:t>In pazienti anziani dare un quarto o meta’ della dose indicata.</w:t>
      </w:r>
    </w:p>
    <w:p w:rsidR="00000000" w:rsidRDefault="00AC28BE">
      <w:pPr>
        <w:rPr>
          <w:sz w:val="28"/>
          <w:lang w:val="it-IT"/>
        </w:rPr>
      </w:pPr>
      <w:r>
        <w:rPr>
          <w:sz w:val="28"/>
          <w:lang w:val="it-IT"/>
        </w:rPr>
        <w:br w:type="page"/>
      </w:r>
    </w:p>
    <w:p w:rsidR="00000000" w:rsidRDefault="00AC28BE">
      <w:pPr>
        <w:pStyle w:val="Titolo1"/>
      </w:pPr>
      <w:r>
        <w:t>DOMANDE</w:t>
      </w:r>
    </w:p>
    <w:p w:rsidR="00000000" w:rsidRDefault="00AC28BE">
      <w:pPr>
        <w:numPr>
          <w:ilvl w:val="0"/>
          <w:numId w:val="19"/>
        </w:numPr>
      </w:pPr>
      <w:r>
        <w:t>A cosa servono le linee guida?</w:t>
      </w:r>
    </w:p>
    <w:p w:rsidR="00000000" w:rsidRDefault="00AC28BE">
      <w:pPr>
        <w:numPr>
          <w:ilvl w:val="0"/>
          <w:numId w:val="19"/>
        </w:numPr>
      </w:pPr>
      <w:r>
        <w:t>Le linee guida rappresentano un vincolo rigoroso all’attivita’diagnostica e terapeutica?</w:t>
      </w:r>
    </w:p>
    <w:p w:rsidR="00000000" w:rsidRDefault="00AC28BE">
      <w:pPr>
        <w:numPr>
          <w:ilvl w:val="0"/>
          <w:numId w:val="19"/>
        </w:numPr>
      </w:pPr>
      <w:r>
        <w:t>Come si prepara un abstrac</w:t>
      </w:r>
      <w:r>
        <w:t>t strutturato per le linee guida cliniche?</w:t>
      </w:r>
    </w:p>
    <w:p w:rsidR="00000000" w:rsidRDefault="00AC28BE">
      <w:pPr>
        <w:numPr>
          <w:ilvl w:val="0"/>
          <w:numId w:val="19"/>
        </w:numPr>
      </w:pPr>
      <w:r>
        <w:t>Cosa sono le linee guida comparative?</w:t>
      </w:r>
    </w:p>
    <w:p w:rsidR="00000000" w:rsidRDefault="00AC28BE">
      <w:pPr>
        <w:numPr>
          <w:ilvl w:val="0"/>
          <w:numId w:val="19"/>
        </w:numPr>
      </w:pPr>
      <w:r>
        <w:t>Specificare due delle occasioni in cui si raccomanda l’uso dei neurolettici atipici</w:t>
      </w:r>
    </w:p>
    <w:p w:rsidR="00000000" w:rsidRDefault="00AC28BE">
      <w:pPr>
        <w:numPr>
          <w:ilvl w:val="0"/>
          <w:numId w:val="19"/>
        </w:numPr>
      </w:pPr>
      <w:r>
        <w:t>Quali sono i neurolettici che hanno un’efficacia accertata nel trattamento della schizofren</w:t>
      </w:r>
      <w:r>
        <w:t>ia resistente?</w:t>
      </w:r>
    </w:p>
    <w:p w:rsidR="00000000" w:rsidRDefault="00AC28BE">
      <w:pPr>
        <w:numPr>
          <w:ilvl w:val="0"/>
          <w:numId w:val="19"/>
        </w:numPr>
      </w:pPr>
      <w:r>
        <w:t>Quando si inizi un trattamento con neurolettico depot, quanti giorni bisognerebbe aspettare prima di aumentare il dosaggio, dopo la somministrazione della dose iniziale?</w:t>
      </w:r>
    </w:p>
    <w:p w:rsidR="00000000" w:rsidRDefault="00AC28BE">
      <w:pPr>
        <w:numPr>
          <w:ilvl w:val="0"/>
          <w:numId w:val="19"/>
        </w:numPr>
      </w:pPr>
      <w:r>
        <w:t>Qualora si utilizzi un dosaggio superiore a 1 grammo di clorpromazina (</w:t>
      </w:r>
      <w:r>
        <w:t>o equivalente), quali parametri bisognerebbe monitorare nel paziente (indicare almeno due parametri)?</w:t>
      </w:r>
    </w:p>
    <w:p w:rsidR="00000000" w:rsidRDefault="00AC28BE">
      <w:pPr>
        <w:numPr>
          <w:ilvl w:val="0"/>
          <w:numId w:val="19"/>
        </w:numPr>
      </w:pPr>
      <w:r>
        <w:t xml:space="preserve">Per quanto tempo bisognerebbe attendere prima di valutare se vi sia stata una risposta clinica alla Clozapina? </w:t>
      </w:r>
    </w:p>
    <w:p w:rsidR="00000000" w:rsidRDefault="00AC28BE">
      <w:pPr>
        <w:rPr>
          <w:lang w:val="it-IT"/>
        </w:rPr>
      </w:pPr>
      <w:r>
        <w:rPr>
          <w:lang w:val="it-IT"/>
        </w:rPr>
        <w:t>10) Chiarire come si arriva alla decisione</w:t>
      </w:r>
      <w:r>
        <w:rPr>
          <w:lang w:val="it-IT"/>
        </w:rPr>
        <w:t xml:space="preserve"> che un farmaco antidepressivo sia inefficace in un determinato paziente</w:t>
      </w:r>
    </w:p>
    <w:p w:rsidR="00000000" w:rsidRDefault="00AC28BE">
      <w:pPr>
        <w:rPr>
          <w:lang w:val="it-IT"/>
        </w:rPr>
      </w:pPr>
      <w:r>
        <w:rPr>
          <w:lang w:val="it-IT"/>
        </w:rPr>
        <w:t>11) Quale e’ la durata minima raccomandata per il trattamento antidepressivo in un determinato paziente e quali variabili vanno prese in considerazione?</w:t>
      </w:r>
    </w:p>
    <w:p w:rsidR="00000000" w:rsidRDefault="00AC28BE">
      <w:pPr>
        <w:rPr>
          <w:lang w:val="it-IT"/>
        </w:rPr>
      </w:pPr>
      <w:r>
        <w:rPr>
          <w:lang w:val="it-IT"/>
        </w:rPr>
        <w:t>12) Spiegare il concetto di “d</w:t>
      </w:r>
      <w:r>
        <w:rPr>
          <w:lang w:val="it-IT"/>
        </w:rPr>
        <w:t>epressione resistente” e suggerire due strategie di trattamento che siano state adeguatamente descritte nella letteratura scientifica</w:t>
      </w:r>
    </w:p>
    <w:p w:rsidR="00000000" w:rsidRDefault="00AC28BE">
      <w:pPr>
        <w:rPr>
          <w:lang w:val="it-IT"/>
        </w:rPr>
      </w:pPr>
      <w:r>
        <w:rPr>
          <w:lang w:val="it-IT"/>
        </w:rPr>
        <w:t>13) Spiegare il concetto di disturbo bipolare rapido-ciclico e suggerire due strategie di trattamento che siano state adeg</w:t>
      </w:r>
      <w:r>
        <w:rPr>
          <w:lang w:val="it-IT"/>
        </w:rPr>
        <w:t>uatamente descritte nella letteratura scientifica</w:t>
      </w:r>
    </w:p>
    <w:p w:rsidR="00000000" w:rsidRDefault="00AC28BE">
      <w:pPr>
        <w:rPr>
          <w:lang w:val="it-IT"/>
        </w:rPr>
      </w:pPr>
      <w:r>
        <w:rPr>
          <w:lang w:val="it-IT"/>
        </w:rPr>
        <w:t>14) Illustrare i casi in cui la terapia elettroconvulsivante costituisca una valida alternativa alla terapia farmacologia.</w:t>
      </w:r>
    </w:p>
    <w:p w:rsidR="00000000" w:rsidRDefault="00AC28BE"/>
    <w:p w:rsidR="00000000" w:rsidRDefault="00AC28BE">
      <w:pPr>
        <w:rPr>
          <w:sz w:val="28"/>
          <w:lang w:val="it-IT"/>
        </w:rPr>
      </w:pPr>
    </w:p>
    <w:tbl>
      <w:tblPr>
        <w:tblW w:w="0" w:type="auto"/>
        <w:tblLayout w:type="fixed"/>
        <w:tblLook w:val="00B7"/>
      </w:tblPr>
      <w:tblGrid>
        <w:gridCol w:w="1420"/>
        <w:gridCol w:w="1420"/>
        <w:gridCol w:w="1420"/>
        <w:gridCol w:w="1420"/>
        <w:gridCol w:w="1420"/>
        <w:gridCol w:w="142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904"/>
        </w:trPr>
        <w:tc>
          <w:tcPr>
            <w:tcW w:w="1420" w:type="dxa"/>
          </w:tcPr>
          <w:p w:rsidR="00000000" w:rsidRDefault="00AC28BE">
            <w:pPr>
              <w:rPr>
                <w:lang w:val="it-IT"/>
              </w:rPr>
            </w:pPr>
            <w:r>
              <w:br w:type="page"/>
            </w:r>
            <w:r>
              <w:rPr>
                <w:sz w:val="28"/>
                <w:lang w:val="it-IT"/>
              </w:rPr>
              <w:br w:type="page"/>
            </w:r>
          </w:p>
        </w:tc>
        <w:tc>
          <w:tcPr>
            <w:tcW w:w="1420" w:type="dxa"/>
          </w:tcPr>
          <w:p w:rsidR="00000000" w:rsidRDefault="00AC28BE">
            <w:pPr>
              <w:rPr>
                <w:lang w:val="it-IT"/>
              </w:rPr>
            </w:pPr>
          </w:p>
        </w:tc>
        <w:tc>
          <w:tcPr>
            <w:tcW w:w="1420" w:type="dxa"/>
          </w:tcPr>
          <w:p w:rsidR="00000000" w:rsidRDefault="00AC28BE">
            <w:pPr>
              <w:rPr>
                <w:lang w:val="it-IT"/>
              </w:rPr>
            </w:pPr>
          </w:p>
        </w:tc>
        <w:tc>
          <w:tcPr>
            <w:tcW w:w="1420" w:type="dxa"/>
          </w:tcPr>
          <w:p w:rsidR="00000000" w:rsidRDefault="00AC28BE">
            <w:pPr>
              <w:rPr>
                <w:lang w:val="it-IT"/>
              </w:rPr>
            </w:pPr>
          </w:p>
        </w:tc>
        <w:tc>
          <w:tcPr>
            <w:tcW w:w="1420" w:type="dxa"/>
          </w:tcPr>
          <w:p w:rsidR="00000000" w:rsidRDefault="00AC28BE">
            <w:pPr>
              <w:rPr>
                <w:lang w:val="it-IT"/>
              </w:rPr>
            </w:pPr>
          </w:p>
        </w:tc>
        <w:tc>
          <w:tcPr>
            <w:tcW w:w="1420" w:type="dxa"/>
          </w:tcPr>
          <w:p w:rsidR="00000000" w:rsidRDefault="00AC28BE">
            <w:pPr>
              <w:rPr>
                <w:lang w:val="it-IT"/>
              </w:rPr>
            </w:pPr>
          </w:p>
        </w:tc>
      </w:tr>
    </w:tbl>
    <w:p w:rsidR="00AC28BE" w:rsidRDefault="00AC28BE">
      <w:pPr>
        <w:pStyle w:val="Didascalia"/>
      </w:pPr>
    </w:p>
    <w:sectPr w:rsidR="00AC28BE">
      <w:pgSz w:w="11906" w:h="16838" w:code="9"/>
      <w:pgMar w:top="1440" w:right="1584" w:bottom="1440" w:left="1584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704A"/>
    <w:multiLevelType w:val="hybridMultilevel"/>
    <w:tmpl w:val="CCD4559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090040"/>
    <w:multiLevelType w:val="hybridMultilevel"/>
    <w:tmpl w:val="83D63BC0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86756E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0434254"/>
    <w:multiLevelType w:val="hybridMultilevel"/>
    <w:tmpl w:val="9A924BEE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92B26"/>
    <w:multiLevelType w:val="hybridMultilevel"/>
    <w:tmpl w:val="8250AE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951D43"/>
    <w:multiLevelType w:val="hybridMultilevel"/>
    <w:tmpl w:val="8EE0988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C75CB8"/>
    <w:multiLevelType w:val="hybridMultilevel"/>
    <w:tmpl w:val="6C94F494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742AD4"/>
    <w:multiLevelType w:val="hybridMultilevel"/>
    <w:tmpl w:val="650AB87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091C03"/>
    <w:multiLevelType w:val="hybridMultilevel"/>
    <w:tmpl w:val="CCD4559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D940AB"/>
    <w:multiLevelType w:val="singleLevel"/>
    <w:tmpl w:val="45C64ECE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sz w:val="28"/>
      </w:rPr>
    </w:lvl>
  </w:abstractNum>
  <w:abstractNum w:abstractNumId="10">
    <w:nsid w:val="4E346CDE"/>
    <w:multiLevelType w:val="hybridMultilevel"/>
    <w:tmpl w:val="8576671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390A02"/>
    <w:multiLevelType w:val="singleLevel"/>
    <w:tmpl w:val="08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C6D1D33"/>
    <w:multiLevelType w:val="hybridMultilevel"/>
    <w:tmpl w:val="EA6E3CC4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C001F3"/>
    <w:multiLevelType w:val="hybridMultilevel"/>
    <w:tmpl w:val="D8C6CE7A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554071"/>
    <w:multiLevelType w:val="hybridMultilevel"/>
    <w:tmpl w:val="0400C5CC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18446C3"/>
    <w:multiLevelType w:val="singleLevel"/>
    <w:tmpl w:val="08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0DD2F89"/>
    <w:multiLevelType w:val="singleLevel"/>
    <w:tmpl w:val="9EF2177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74D1579F"/>
    <w:multiLevelType w:val="hybridMultilevel"/>
    <w:tmpl w:val="9220635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1D2175"/>
    <w:multiLevelType w:val="hybridMultilevel"/>
    <w:tmpl w:val="1CEE35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17"/>
  </w:num>
  <w:num w:numId="10">
    <w:abstractNumId w:val="10"/>
  </w:num>
  <w:num w:numId="11">
    <w:abstractNumId w:val="0"/>
  </w:num>
  <w:num w:numId="12">
    <w:abstractNumId w:val="18"/>
  </w:num>
  <w:num w:numId="13">
    <w:abstractNumId w:val="4"/>
  </w:num>
  <w:num w:numId="14">
    <w:abstractNumId w:val="1"/>
  </w:num>
  <w:num w:numId="15">
    <w:abstractNumId w:val="16"/>
  </w:num>
  <w:num w:numId="16">
    <w:abstractNumId w:val="9"/>
  </w:num>
  <w:num w:numId="17">
    <w:abstractNumId w:val="11"/>
  </w:num>
  <w:num w:numId="18">
    <w:abstractNumId w:val="2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oNotTrackMoves/>
  <w:defaultTabStop w:val="72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7BED"/>
    <w:rsid w:val="001C34D4"/>
    <w:rsid w:val="002F7BED"/>
    <w:rsid w:val="00AC2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18"/>
      <w:lang w:val="it-IT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lang w:val="it-IT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32"/>
      <w:lang w:val="it-IT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b/>
      <w:sz w:val="28"/>
      <w:lang w:val="it-IT"/>
    </w:rPr>
  </w:style>
  <w:style w:type="paragraph" w:styleId="Titolo6">
    <w:name w:val="heading 6"/>
    <w:basedOn w:val="Normale"/>
    <w:next w:val="Normale"/>
    <w:qFormat/>
    <w:pPr>
      <w:keepNext/>
      <w:ind w:left="360"/>
      <w:jc w:val="center"/>
      <w:outlineLvl w:val="5"/>
    </w:pPr>
    <w:rPr>
      <w:b/>
      <w:sz w:val="40"/>
      <w:lang w:val="it-IT"/>
    </w:rPr>
  </w:style>
  <w:style w:type="paragraph" w:styleId="Titolo7">
    <w:name w:val="heading 7"/>
    <w:basedOn w:val="Normale"/>
    <w:next w:val="Normale"/>
    <w:qFormat/>
    <w:pPr>
      <w:keepNext/>
      <w:ind w:left="360"/>
      <w:jc w:val="center"/>
      <w:outlineLvl w:val="6"/>
    </w:pPr>
    <w:rPr>
      <w:b/>
      <w:sz w:val="32"/>
      <w:lang w:val="it-IT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b/>
      <w:sz w:val="40"/>
      <w:lang w:val="it-IT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b/>
      <w:sz w:val="32"/>
      <w:lang w:val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deltesto">
    <w:name w:val="Body Text"/>
    <w:basedOn w:val="Normale"/>
    <w:semiHidden/>
    <w:pPr>
      <w:jc w:val="center"/>
    </w:pPr>
    <w:rPr>
      <w:i/>
      <w:iCs/>
      <w:lang w:val="it-IT"/>
    </w:rPr>
  </w:style>
  <w:style w:type="paragraph" w:styleId="Corpodeltesto2">
    <w:name w:val="Body Text 2"/>
    <w:basedOn w:val="Normale"/>
    <w:semiHidden/>
    <w:pPr>
      <w:jc w:val="both"/>
    </w:pPr>
    <w:rPr>
      <w:lang w:val="it-IT"/>
    </w:rPr>
  </w:style>
  <w:style w:type="paragraph" w:styleId="Corpodeltesto3">
    <w:name w:val="Body Text 3"/>
    <w:basedOn w:val="Normale"/>
    <w:semiHidden/>
    <w:rPr>
      <w:b/>
      <w:bCs/>
      <w:lang w:val="it-IT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40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2090</Words>
  <Characters>11919</Characters>
  <Application>Microsoft Office Word</Application>
  <DocSecurity>0</DocSecurity>
  <Lines>99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 linee guida della schizofrenia</vt:lpstr>
      <vt:lpstr>II</vt:lpstr>
    </vt:vector>
  </TitlesOfParts>
  <Company>King's College London</Company>
  <LinksUpToDate>false</LinksUpToDate>
  <CharactersWithSpaces>13982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linee guida della schizofrenia</dc:title>
  <dc:subject/>
  <dc:creator>spcbpad</dc:creator>
  <cp:keywords/>
  <dc:description/>
  <cp:lastModifiedBy>marcus</cp:lastModifiedBy>
  <cp:revision>2</cp:revision>
  <cp:lastPrinted>2001-11-21T08:37:00Z</cp:lastPrinted>
  <dcterms:created xsi:type="dcterms:W3CDTF">2009-09-26T07:52:00Z</dcterms:created>
  <dcterms:modified xsi:type="dcterms:W3CDTF">2009-09-26T07:52:00Z</dcterms:modified>
</cp:coreProperties>
</file>